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7D" w:rsidRDefault="00690280" w:rsidP="008D48EC">
      <w:pPr>
        <w:jc w:val="both"/>
        <w:rPr>
          <w:lang w:val="en-US"/>
        </w:rPr>
      </w:pPr>
      <w:r>
        <w:rPr>
          <w:lang w:val="en-US"/>
        </w:rPr>
        <w:t xml:space="preserve">Madrid, 4 </w:t>
      </w:r>
      <w:proofErr w:type="spellStart"/>
      <w:r>
        <w:rPr>
          <w:lang w:val="en-US"/>
        </w:rPr>
        <w:t>iunie</w:t>
      </w:r>
      <w:proofErr w:type="spellEnd"/>
      <w:r>
        <w:rPr>
          <w:lang w:val="en-US"/>
        </w:rPr>
        <w:t xml:space="preserve"> 2014</w:t>
      </w:r>
    </w:p>
    <w:p w:rsidR="005E197D" w:rsidRDefault="005E197D" w:rsidP="008D48EC">
      <w:pPr>
        <w:jc w:val="both"/>
        <w:rPr>
          <w:lang w:val="en-US"/>
        </w:rPr>
      </w:pPr>
    </w:p>
    <w:p w:rsidR="005E197D" w:rsidRDefault="005E197D" w:rsidP="008D48EC">
      <w:pPr>
        <w:jc w:val="both"/>
        <w:rPr>
          <w:lang w:val="en-US"/>
        </w:rPr>
      </w:pPr>
    </w:p>
    <w:p w:rsidR="005E197D" w:rsidRDefault="005E197D" w:rsidP="008D48EC">
      <w:pPr>
        <w:jc w:val="both"/>
        <w:rPr>
          <w:lang w:val="en-US"/>
        </w:rPr>
      </w:pPr>
    </w:p>
    <w:p w:rsidR="00620291" w:rsidRPr="00690280" w:rsidRDefault="00620291" w:rsidP="008D48EC">
      <w:pPr>
        <w:jc w:val="both"/>
        <w:rPr>
          <w:b/>
          <w:lang w:val="en-US"/>
        </w:rPr>
      </w:pPr>
      <w:r w:rsidRPr="00690280">
        <w:rPr>
          <w:b/>
          <w:lang w:val="en-US"/>
        </w:rPr>
        <w:t xml:space="preserve">COMUNICAT DE PRESĂ </w:t>
      </w:r>
      <w:r w:rsidR="005E197D" w:rsidRPr="00690280">
        <w:rPr>
          <w:b/>
          <w:lang w:val="en-US"/>
        </w:rPr>
        <w:t>IOSCO</w:t>
      </w:r>
    </w:p>
    <w:p w:rsidR="00690280" w:rsidRDefault="00690280" w:rsidP="008D48EC">
      <w:pPr>
        <w:jc w:val="both"/>
        <w:rPr>
          <w:b/>
        </w:rPr>
      </w:pPr>
    </w:p>
    <w:p w:rsidR="008D48EC" w:rsidRDefault="008D48EC" w:rsidP="008D48EC">
      <w:pPr>
        <w:jc w:val="both"/>
        <w:rPr>
          <w:lang w:val="en-US"/>
        </w:rPr>
      </w:pPr>
      <w:r w:rsidRPr="003054A4">
        <w:rPr>
          <w:b/>
        </w:rPr>
        <w:t>privind publicarea de către IOSCO</w:t>
      </w:r>
      <w:r w:rsidR="005E197D">
        <w:rPr>
          <w:b/>
        </w:rPr>
        <w:t xml:space="preserve"> </w:t>
      </w:r>
      <w:r w:rsidRPr="003054A4">
        <w:rPr>
          <w:b/>
        </w:rPr>
        <w:t>a</w:t>
      </w:r>
      <w:r w:rsidRPr="003054A4">
        <w:t xml:space="preserve"> </w:t>
      </w:r>
      <w:r w:rsidRPr="003054A4">
        <w:rPr>
          <w:b/>
        </w:rPr>
        <w:t>raportului C</w:t>
      </w:r>
      <w:r w:rsidR="00620291">
        <w:rPr>
          <w:b/>
        </w:rPr>
        <w:t xml:space="preserve">omitetului </w:t>
      </w:r>
      <w:r w:rsidRPr="003054A4">
        <w:rPr>
          <w:b/>
        </w:rPr>
        <w:t xml:space="preserve">5 </w:t>
      </w:r>
      <w:r w:rsidR="00690280">
        <w:rPr>
          <w:b/>
        </w:rPr>
        <w:t xml:space="preserve"> al organizației </w:t>
      </w:r>
      <w:r w:rsidRPr="003054A4">
        <w:rPr>
          <w:b/>
        </w:rPr>
        <w:t>privind reducerea dependenței de evaluările rea</w:t>
      </w:r>
      <w:r w:rsidR="005E197D">
        <w:rPr>
          <w:b/>
        </w:rPr>
        <w:t>lizate de agențiile de rating a</w:t>
      </w:r>
      <w:r w:rsidRPr="003054A4">
        <w:rPr>
          <w:b/>
        </w:rPr>
        <w:t xml:space="preserve"> domeniul</w:t>
      </w:r>
      <w:r w:rsidR="005E197D">
        <w:rPr>
          <w:b/>
        </w:rPr>
        <w:t>ui</w:t>
      </w:r>
      <w:r w:rsidRPr="003054A4">
        <w:rPr>
          <w:b/>
        </w:rPr>
        <w:t xml:space="preserve"> administrării de investiții</w:t>
      </w:r>
    </w:p>
    <w:p w:rsidR="008D48EC" w:rsidRDefault="008D48EC" w:rsidP="008D48EC">
      <w:pPr>
        <w:jc w:val="both"/>
        <w:rPr>
          <w:lang w:val="en-US"/>
        </w:rPr>
      </w:pPr>
    </w:p>
    <w:p w:rsidR="00690280" w:rsidRDefault="00690280" w:rsidP="008D48EC">
      <w:pPr>
        <w:jc w:val="both"/>
      </w:pPr>
    </w:p>
    <w:p w:rsidR="008D48EC" w:rsidRDefault="008D48EC" w:rsidP="008D48EC">
      <w:pPr>
        <w:jc w:val="both"/>
      </w:pPr>
      <w:r w:rsidRPr="00075394">
        <w:t>În data de 04.06.2014 a fost publicat</w:t>
      </w:r>
      <w:r>
        <w:t>, spre consultare publică,</w:t>
      </w:r>
      <w:r w:rsidRPr="00075394">
        <w:t xml:space="preserve"> raportul Comitetului 5</w:t>
      </w:r>
      <w:r>
        <w:t xml:space="preserve"> (C5)</w:t>
      </w:r>
      <w:r w:rsidRPr="00075394">
        <w:t xml:space="preserve"> al </w:t>
      </w:r>
      <w:r w:rsidR="00690280" w:rsidRPr="005E197D">
        <w:rPr>
          <w:b/>
        </w:rPr>
        <w:t>Organizația Internațională a Comisiilor de Valori Mobiliare</w:t>
      </w:r>
      <w:r w:rsidR="00690280">
        <w:rPr>
          <w:b/>
        </w:rPr>
        <w:t xml:space="preserve"> (</w:t>
      </w:r>
      <w:r w:rsidRPr="00075394">
        <w:t>IOSCO</w:t>
      </w:r>
      <w:r w:rsidR="00690280">
        <w:t>)</w:t>
      </w:r>
      <w:r w:rsidRPr="00075394">
        <w:t xml:space="preserve"> privind administrarea de investiții (C5) referitor la reducerea dependenței de evaluările realizate de agențiile de rating în domeniul administrării de investiții.</w:t>
      </w:r>
    </w:p>
    <w:p w:rsidR="008D48EC" w:rsidRDefault="008D48EC" w:rsidP="008D48EC">
      <w:pPr>
        <w:jc w:val="both"/>
      </w:pPr>
    </w:p>
    <w:p w:rsidR="008D48EC" w:rsidRPr="004C6AEB" w:rsidRDefault="008D48EC" w:rsidP="005E197D">
      <w:r>
        <w:t>Documentul poate fi accesat la următorul link:</w:t>
      </w:r>
      <w:r w:rsidR="005E197D" w:rsidRPr="005E197D">
        <w:t xml:space="preserve"> </w:t>
      </w:r>
      <w:hyperlink r:id="rId4" w:history="1">
        <w:r w:rsidR="005E197D" w:rsidRPr="00B26FAD">
          <w:rPr>
            <w:rStyle w:val="Hyperlink"/>
          </w:rPr>
          <w:t>http://www.iosco.org/news/pdf/IOSCONEWS332.pdf</w:t>
        </w:r>
      </w:hyperlink>
      <w:r w:rsidR="005E197D">
        <w:t xml:space="preserve">. </w:t>
      </w:r>
      <w:r>
        <w:t xml:space="preserve"> </w:t>
      </w:r>
    </w:p>
    <w:p w:rsidR="008D48EC" w:rsidRPr="00075394" w:rsidRDefault="008D48EC" w:rsidP="008D48EC">
      <w:pPr>
        <w:jc w:val="both"/>
      </w:pPr>
    </w:p>
    <w:p w:rsidR="008D48EC" w:rsidRPr="00075394" w:rsidRDefault="008D48EC" w:rsidP="008D48EC">
      <w:pPr>
        <w:jc w:val="both"/>
      </w:pPr>
      <w:r w:rsidRPr="00075394">
        <w:t>Documentul respectiv</w:t>
      </w:r>
      <w:r>
        <w:t xml:space="preserve"> este supus consultării publice până vineri, 05 septembrie 2014, observațiile pe marginea sa și răspunsurile la întrebările formulate putând fi transmise la adresa de poștă electronică: </w:t>
      </w:r>
      <w:r w:rsidRPr="00075394">
        <w:rPr>
          <w:rFonts w:eastAsia="Calibri"/>
          <w:i/>
          <w:color w:val="000000"/>
          <w:sz w:val="23"/>
          <w:szCs w:val="23"/>
          <w:u w:val="single"/>
          <w:lang w:eastAsia="ro-RO"/>
        </w:rPr>
        <w:t>consultation-2014-04@iosco.org</w:t>
      </w:r>
      <w:r>
        <w:rPr>
          <w:rFonts w:eastAsia="Calibri"/>
          <w:color w:val="000000"/>
          <w:sz w:val="23"/>
          <w:szCs w:val="23"/>
          <w:lang w:eastAsia="ro-RO"/>
        </w:rPr>
        <w:t>.</w:t>
      </w:r>
      <w:r w:rsidRPr="00075394">
        <w:rPr>
          <w:rFonts w:eastAsia="Calibri"/>
          <w:color w:val="000000"/>
          <w:sz w:val="23"/>
          <w:szCs w:val="23"/>
          <w:lang w:eastAsia="ro-RO"/>
        </w:rPr>
        <w:t xml:space="preserve"> </w:t>
      </w:r>
    </w:p>
    <w:p w:rsidR="008D48EC" w:rsidRPr="00075394" w:rsidRDefault="008D48EC" w:rsidP="008D48EC">
      <w:pPr>
        <w:jc w:val="both"/>
      </w:pPr>
    </w:p>
    <w:p w:rsidR="008D48EC" w:rsidRPr="00C0332A" w:rsidRDefault="008D48EC" w:rsidP="008D48EC">
      <w:pPr>
        <w:spacing w:after="100"/>
        <w:jc w:val="both"/>
        <w:rPr>
          <w:color w:val="000000"/>
        </w:rPr>
      </w:pPr>
      <w:r w:rsidRPr="00C0332A">
        <w:rPr>
          <w:color w:val="000000"/>
        </w:rPr>
        <w:t>Între aspectele esențiale conținute în cadrul raportului în cauză, se evidențiază:</w:t>
      </w:r>
    </w:p>
    <w:p w:rsidR="008D48EC" w:rsidRDefault="008D48EC" w:rsidP="008D48EC">
      <w:pPr>
        <w:spacing w:after="100"/>
        <w:jc w:val="both"/>
        <w:rPr>
          <w:color w:val="000000"/>
        </w:rPr>
      </w:pPr>
      <w:r w:rsidRPr="00C0332A">
        <w:rPr>
          <w:color w:val="000000"/>
        </w:rPr>
        <w:t>- practicile solide reprezintă repere orientative și ar trebui aplicate cu respectarea principiului PROPORȚIONALITĂȚII;</w:t>
      </w:r>
    </w:p>
    <w:p w:rsidR="008D48EC" w:rsidRPr="00C0332A" w:rsidRDefault="008D48EC" w:rsidP="008D48EC">
      <w:pPr>
        <w:spacing w:after="100"/>
        <w:jc w:val="both"/>
        <w:rPr>
          <w:color w:val="000000"/>
        </w:rPr>
      </w:pPr>
      <w:r>
        <w:rPr>
          <w:color w:val="000000"/>
        </w:rPr>
        <w:t xml:space="preserve">- revizuirea legislației interne de către autoritățile competente naționale pentru a înlătura orice restricții privind obligativitatea utilizării de către </w:t>
      </w:r>
      <w:r w:rsidRPr="00C0332A">
        <w:rPr>
          <w:color w:val="000000"/>
        </w:rPr>
        <w:t>administratorii de fonduri de investiții</w:t>
      </w:r>
      <w:r>
        <w:rPr>
          <w:color w:val="000000"/>
        </w:rPr>
        <w:t xml:space="preserve"> a evaluărilor furnizate de agențiile de rating privind unele instrumente financiare;</w:t>
      </w:r>
    </w:p>
    <w:p w:rsidR="008D48EC" w:rsidRPr="00C0332A" w:rsidRDefault="008D48EC" w:rsidP="008D48EC">
      <w:pPr>
        <w:spacing w:after="100"/>
        <w:jc w:val="both"/>
        <w:rPr>
          <w:color w:val="000000"/>
        </w:rPr>
      </w:pPr>
      <w:r w:rsidRPr="00C0332A">
        <w:rPr>
          <w:color w:val="000000"/>
        </w:rPr>
        <w:t>- necesitatea ca administratorii de fonduri de investiții să utilizeze evaluări interne ale instrumentelor financiare (internal credit assessment) și să nu se bazeze mecanicist pe ratingurile externe furnizate de agenții de rating –Credit Rating Agencies, CRA- (privind selecția portofoliului optim, evaluarea colateralului și a situației generale a unei contrapărți într-o tranzacție cu un O.P.C.);</w:t>
      </w:r>
    </w:p>
    <w:p w:rsidR="008D48EC" w:rsidRPr="00C0332A" w:rsidRDefault="008D48EC" w:rsidP="008D48EC">
      <w:pPr>
        <w:spacing w:after="100"/>
        <w:jc w:val="both"/>
        <w:rPr>
          <w:color w:val="000000"/>
        </w:rPr>
      </w:pPr>
      <w:r w:rsidRPr="00C0332A">
        <w:rPr>
          <w:color w:val="000000"/>
        </w:rPr>
        <w:t>- sprijinirea concluziei că retrogradarea ratingului CRA a unor valori mobiliare nu ar trebui să determine automat operațiunea de vânzare a acestora din portofoliile O.P.C.;</w:t>
      </w:r>
    </w:p>
    <w:p w:rsidR="008D48EC" w:rsidRPr="00C0332A" w:rsidRDefault="008D48EC" w:rsidP="008D48EC">
      <w:pPr>
        <w:spacing w:after="100"/>
        <w:jc w:val="both"/>
        <w:rPr>
          <w:color w:val="000000"/>
        </w:rPr>
      </w:pPr>
      <w:r w:rsidRPr="00C0332A">
        <w:rPr>
          <w:color w:val="000000"/>
        </w:rPr>
        <w:t>- referința strictă la evaluările cantitative/obiective și nu la evaluarea riscurilor de afaceri (precum calitatea managementului companiilor sau perspectivele viitoare ale unei ramuri industriale);</w:t>
      </w:r>
    </w:p>
    <w:p w:rsidR="008D48EC" w:rsidRDefault="008D48EC" w:rsidP="008D48EC">
      <w:pPr>
        <w:spacing w:after="100"/>
        <w:jc w:val="both"/>
        <w:rPr>
          <w:color w:val="000000"/>
        </w:rPr>
      </w:pPr>
      <w:r w:rsidRPr="00C0332A">
        <w:rPr>
          <w:color w:val="000000"/>
        </w:rPr>
        <w:t xml:space="preserve">- </w:t>
      </w:r>
      <w:r>
        <w:rPr>
          <w:color w:val="000000"/>
        </w:rPr>
        <w:t xml:space="preserve">evidențierea importanței solvabilității </w:t>
      </w:r>
      <w:r w:rsidRPr="00C0332A">
        <w:rPr>
          <w:color w:val="000000"/>
        </w:rPr>
        <w:t>GARANTOR</w:t>
      </w:r>
      <w:r>
        <w:rPr>
          <w:color w:val="000000"/>
        </w:rPr>
        <w:t>-ului</w:t>
      </w:r>
      <w:r w:rsidRPr="00C0332A">
        <w:rPr>
          <w:color w:val="000000"/>
        </w:rPr>
        <w:t xml:space="preserve"> și SPONSOR</w:t>
      </w:r>
      <w:r>
        <w:rPr>
          <w:color w:val="000000"/>
        </w:rPr>
        <w:t>-ului</w:t>
      </w:r>
      <w:r w:rsidRPr="00C0332A">
        <w:rPr>
          <w:color w:val="000000"/>
        </w:rPr>
        <w:t xml:space="preserve"> pentru fondurile de piață monetară (FPM).”</w:t>
      </w:r>
    </w:p>
    <w:p w:rsidR="00B1235E" w:rsidRDefault="00B1235E"/>
    <w:sectPr w:rsidR="00B1235E" w:rsidSect="001C1233">
      <w:pgSz w:w="11906" w:h="16838" w:code="9"/>
      <w:pgMar w:top="851" w:right="851" w:bottom="851" w:left="1417" w:header="397" w:footer="39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D48EC"/>
    <w:rsid w:val="001C1233"/>
    <w:rsid w:val="005E197D"/>
    <w:rsid w:val="00620291"/>
    <w:rsid w:val="00683A29"/>
    <w:rsid w:val="00690280"/>
    <w:rsid w:val="007C3CD8"/>
    <w:rsid w:val="008D48EC"/>
    <w:rsid w:val="009A3B5A"/>
    <w:rsid w:val="00B1235E"/>
    <w:rsid w:val="00CA19AD"/>
    <w:rsid w:val="00CD6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8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osco.org/news/pdf/IOSCONEWS332.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Comisia Nationala A Valorilor Mobiliare</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Nica</dc:creator>
  <cp:keywords/>
  <dc:description/>
  <cp:lastModifiedBy>mbutoianu</cp:lastModifiedBy>
  <cp:revision>4</cp:revision>
  <dcterms:created xsi:type="dcterms:W3CDTF">2014-06-17T05:48:00Z</dcterms:created>
  <dcterms:modified xsi:type="dcterms:W3CDTF">2014-06-17T07:50:00Z</dcterms:modified>
</cp:coreProperties>
</file>