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89" w:rsidRDefault="00537789" w:rsidP="00537789">
      <w:pPr>
        <w:rPr>
          <w:szCs w:val="23"/>
        </w:rPr>
      </w:pPr>
      <w:r>
        <w:rPr>
          <w:szCs w:val="23"/>
        </w:rPr>
        <w:t>A</w:t>
      </w:r>
      <w:bookmarkStart w:id="0" w:name="_GoBack"/>
      <w:bookmarkEnd w:id="0"/>
      <w:r>
        <w:rPr>
          <w:szCs w:val="23"/>
        </w:rPr>
        <w:t>nexa</w:t>
      </w:r>
      <w:r w:rsidR="00E74D3B">
        <w:rPr>
          <w:szCs w:val="23"/>
        </w:rPr>
        <w:t xml:space="preserve"> – Propuneri de modificare a Normei nr. 23/2014</w:t>
      </w:r>
    </w:p>
    <w:p w:rsidR="00537789" w:rsidRDefault="00537789" w:rsidP="00537789">
      <w:pPr>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5"/>
        <w:gridCol w:w="3414"/>
        <w:gridCol w:w="2647"/>
      </w:tblGrid>
      <w:tr w:rsidR="00537789" w:rsidTr="00537789">
        <w:tc>
          <w:tcPr>
            <w:tcW w:w="3618" w:type="dxa"/>
            <w:tcBorders>
              <w:top w:val="single" w:sz="4" w:space="0" w:color="auto"/>
              <w:left w:val="single" w:sz="4" w:space="0" w:color="auto"/>
              <w:bottom w:val="single" w:sz="4" w:space="0" w:color="auto"/>
              <w:right w:val="single" w:sz="4" w:space="0" w:color="auto"/>
            </w:tcBorders>
            <w:hideMark/>
          </w:tcPr>
          <w:p w:rsidR="00E74D3B" w:rsidRDefault="00E74D3B">
            <w:pPr>
              <w:spacing w:line="276" w:lineRule="auto"/>
              <w:jc w:val="both"/>
              <w:rPr>
                <w:b/>
                <w:sz w:val="22"/>
                <w:szCs w:val="22"/>
              </w:rPr>
            </w:pPr>
          </w:p>
          <w:p w:rsidR="00537789" w:rsidRPr="00E74D3B" w:rsidRDefault="00537789">
            <w:pPr>
              <w:spacing w:line="276" w:lineRule="auto"/>
              <w:jc w:val="both"/>
              <w:rPr>
                <w:b/>
              </w:rPr>
            </w:pPr>
            <w:r w:rsidRPr="00E74D3B">
              <w:rPr>
                <w:b/>
                <w:sz w:val="22"/>
                <w:szCs w:val="22"/>
              </w:rPr>
              <w:t xml:space="preserve">Text in vigoare </w:t>
            </w:r>
          </w:p>
        </w:tc>
        <w:tc>
          <w:tcPr>
            <w:tcW w:w="3510" w:type="dxa"/>
            <w:tcBorders>
              <w:top w:val="single" w:sz="4" w:space="0" w:color="auto"/>
              <w:left w:val="single" w:sz="4" w:space="0" w:color="auto"/>
              <w:bottom w:val="single" w:sz="4" w:space="0" w:color="auto"/>
              <w:right w:val="single" w:sz="4" w:space="0" w:color="auto"/>
            </w:tcBorders>
            <w:hideMark/>
          </w:tcPr>
          <w:p w:rsidR="00E74D3B" w:rsidRDefault="00E74D3B">
            <w:pPr>
              <w:spacing w:line="276" w:lineRule="auto"/>
              <w:jc w:val="both"/>
              <w:rPr>
                <w:b/>
                <w:sz w:val="22"/>
                <w:szCs w:val="22"/>
              </w:rPr>
            </w:pPr>
          </w:p>
          <w:p w:rsidR="00537789" w:rsidRPr="00E74D3B" w:rsidRDefault="00537789">
            <w:pPr>
              <w:spacing w:line="276" w:lineRule="auto"/>
              <w:jc w:val="both"/>
              <w:rPr>
                <w:b/>
              </w:rPr>
            </w:pPr>
            <w:r w:rsidRPr="00E74D3B">
              <w:rPr>
                <w:b/>
                <w:sz w:val="22"/>
                <w:szCs w:val="22"/>
              </w:rPr>
              <w:t xml:space="preserve">Text propus </w:t>
            </w:r>
          </w:p>
        </w:tc>
        <w:tc>
          <w:tcPr>
            <w:tcW w:w="2727" w:type="dxa"/>
            <w:tcBorders>
              <w:top w:val="single" w:sz="4" w:space="0" w:color="auto"/>
              <w:left w:val="single" w:sz="4" w:space="0" w:color="auto"/>
              <w:bottom w:val="single" w:sz="4" w:space="0" w:color="auto"/>
              <w:right w:val="single" w:sz="4" w:space="0" w:color="auto"/>
            </w:tcBorders>
            <w:hideMark/>
          </w:tcPr>
          <w:p w:rsidR="00E74D3B" w:rsidRDefault="00E74D3B">
            <w:pPr>
              <w:spacing w:line="276" w:lineRule="auto"/>
              <w:jc w:val="both"/>
              <w:rPr>
                <w:b/>
                <w:sz w:val="22"/>
                <w:szCs w:val="22"/>
              </w:rPr>
            </w:pPr>
          </w:p>
          <w:p w:rsidR="00537789" w:rsidRDefault="00537789">
            <w:pPr>
              <w:spacing w:line="276" w:lineRule="auto"/>
              <w:jc w:val="both"/>
              <w:rPr>
                <w:b/>
                <w:sz w:val="22"/>
                <w:szCs w:val="22"/>
              </w:rPr>
            </w:pPr>
            <w:r w:rsidRPr="00E74D3B">
              <w:rPr>
                <w:b/>
                <w:sz w:val="22"/>
                <w:szCs w:val="22"/>
              </w:rPr>
              <w:t>Explicații</w:t>
            </w:r>
          </w:p>
          <w:p w:rsidR="00E74D3B" w:rsidRPr="00E74D3B" w:rsidRDefault="00E74D3B">
            <w:pPr>
              <w:spacing w:line="276" w:lineRule="auto"/>
              <w:jc w:val="both"/>
              <w:rPr>
                <w:b/>
              </w:rPr>
            </w:pPr>
          </w:p>
        </w:tc>
      </w:tr>
      <w:tr w:rsidR="00537789" w:rsidTr="00537789">
        <w:tc>
          <w:tcPr>
            <w:tcW w:w="3618" w:type="dxa"/>
            <w:tcBorders>
              <w:top w:val="single" w:sz="4" w:space="0" w:color="auto"/>
              <w:left w:val="single" w:sz="4" w:space="0" w:color="auto"/>
              <w:bottom w:val="single" w:sz="4" w:space="0" w:color="auto"/>
              <w:right w:val="single" w:sz="4" w:space="0" w:color="auto"/>
            </w:tcBorders>
          </w:tcPr>
          <w:p w:rsidR="00537789" w:rsidRDefault="00537789">
            <w:pPr>
              <w:pStyle w:val="Default"/>
              <w:jc w:val="both"/>
              <w:rPr>
                <w:rFonts w:ascii="Times New Roman" w:hAnsi="Times New Roman" w:cs="Times New Roman"/>
                <w:color w:val="auto"/>
                <w:sz w:val="22"/>
                <w:szCs w:val="22"/>
                <w:lang w:val="ro-RO"/>
              </w:rPr>
            </w:pPr>
            <w:r>
              <w:rPr>
                <w:rFonts w:ascii="Times New Roman" w:hAnsi="Times New Roman" w:cs="Times New Roman"/>
                <w:color w:val="auto"/>
                <w:sz w:val="22"/>
                <w:szCs w:val="22"/>
                <w:lang w:val="ro-RO"/>
              </w:rPr>
              <w:t xml:space="preserve">Art. 3. - (1) Asigurătorii pot practica asigurarea obligatorie RCA dacă sunt autorizaţi pentru desfăşurarea activităţii de asigurare, în conformitate cu prevederile </w:t>
            </w:r>
            <w:r>
              <w:rPr>
                <w:rFonts w:ascii="Times New Roman" w:hAnsi="Times New Roman" w:cs="Times New Roman"/>
                <w:b/>
                <w:color w:val="auto"/>
                <w:sz w:val="22"/>
                <w:szCs w:val="22"/>
                <w:lang w:val="ro-RO"/>
              </w:rPr>
              <w:t>Legii nr. 32/2000</w:t>
            </w:r>
            <w:r>
              <w:rPr>
                <w:rFonts w:ascii="Times New Roman" w:hAnsi="Times New Roman" w:cs="Times New Roman"/>
                <w:color w:val="auto"/>
                <w:sz w:val="22"/>
                <w:szCs w:val="22"/>
                <w:lang w:val="ro-RO"/>
              </w:rPr>
              <w:t xml:space="preserve"> </w:t>
            </w:r>
            <w:r>
              <w:rPr>
                <w:rFonts w:ascii="Times New Roman" w:hAnsi="Times New Roman" w:cs="Times New Roman"/>
                <w:b/>
                <w:color w:val="auto"/>
                <w:sz w:val="22"/>
                <w:szCs w:val="22"/>
                <w:lang w:val="ro-RO"/>
              </w:rPr>
              <w:t>privind activitatea de asigurare şi supravegherea asigurărilor, cu modificările şi completările ulterioare</w:t>
            </w:r>
            <w:r>
              <w:rPr>
                <w:rFonts w:ascii="Times New Roman" w:hAnsi="Times New Roman" w:cs="Times New Roman"/>
                <w:color w:val="auto"/>
                <w:sz w:val="22"/>
                <w:szCs w:val="22"/>
                <w:lang w:val="ro-RO"/>
              </w:rPr>
              <w:t xml:space="preserve">, şi îndeplinesc cumulativ următoarele condiţii speciale: </w:t>
            </w:r>
          </w:p>
          <w:p w:rsidR="00537789" w:rsidRDefault="00537789">
            <w:pPr>
              <w:pStyle w:val="Default"/>
              <w:jc w:val="both"/>
              <w:rPr>
                <w:rFonts w:ascii="Times New Roman" w:hAnsi="Times New Roman" w:cs="Times New Roman"/>
                <w:color w:val="auto"/>
                <w:sz w:val="22"/>
                <w:szCs w:val="22"/>
                <w:lang w:val="ro-RO"/>
              </w:rPr>
            </w:pPr>
            <w:r>
              <w:rPr>
                <w:rFonts w:ascii="Times New Roman" w:hAnsi="Times New Roman" w:cs="Times New Roman"/>
                <w:color w:val="auto"/>
                <w:sz w:val="22"/>
                <w:szCs w:val="22"/>
                <w:lang w:val="ro-RO"/>
              </w:rPr>
              <w:t xml:space="preserve">a) sunt autorizaţi pentru subscrierea riscurilor de răspundere civilă a vehiculelor, </w:t>
            </w:r>
            <w:r>
              <w:rPr>
                <w:rFonts w:ascii="Times New Roman" w:hAnsi="Times New Roman" w:cs="Times New Roman"/>
                <w:b/>
                <w:color w:val="auto"/>
                <w:sz w:val="22"/>
                <w:szCs w:val="22"/>
                <w:lang w:val="ro-RO"/>
              </w:rPr>
              <w:t>prevăzute la lit. B clasa 10 din anexa nr. 1 la Legea nr. 32/2000</w:t>
            </w:r>
            <w:r>
              <w:rPr>
                <w:rFonts w:ascii="Times New Roman" w:hAnsi="Times New Roman" w:cs="Times New Roman"/>
                <w:color w:val="auto"/>
                <w:sz w:val="22"/>
                <w:szCs w:val="22"/>
                <w:lang w:val="ro-RO"/>
              </w:rPr>
              <w:t xml:space="preserve">, cu modificările şi completările ulterioare; </w:t>
            </w: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r>
              <w:rPr>
                <w:rFonts w:ascii="Times New Roman" w:hAnsi="Times New Roman" w:cs="Times New Roman"/>
                <w:color w:val="auto"/>
                <w:sz w:val="22"/>
                <w:szCs w:val="22"/>
                <w:lang w:val="ro-RO"/>
              </w:rPr>
              <w:t>b)</w:t>
            </w:r>
            <w:r>
              <w:rPr>
                <w:rStyle w:val="Heading7Char"/>
              </w:rPr>
              <w:t xml:space="preserve"> </w:t>
            </w:r>
            <w:r>
              <w:rPr>
                <w:rFonts w:ascii="Times New Roman" w:hAnsi="Times New Roman" w:cs="Times New Roman"/>
                <w:color w:val="auto"/>
                <w:sz w:val="22"/>
                <w:szCs w:val="22"/>
                <w:lang w:val="ro-RO"/>
              </w:rPr>
              <w:t>dispun de un reprezentant de despăgubiri în fiecare stat situat în limitele teritoriale de acoperire a asigurării RCA, definite la art. 1</w:t>
            </w:r>
            <w:r>
              <w:rPr>
                <w:rFonts w:ascii="Times New Roman" w:hAnsi="Times New Roman" w:cs="Times New Roman"/>
                <w:color w:val="auto"/>
                <w:sz w:val="22"/>
                <w:szCs w:val="22"/>
                <w:vertAlign w:val="superscript"/>
                <w:lang w:val="ro-RO"/>
              </w:rPr>
              <w:t>1</w:t>
            </w:r>
            <w:r>
              <w:rPr>
                <w:rFonts w:ascii="Times New Roman" w:hAnsi="Times New Roman" w:cs="Times New Roman"/>
                <w:color w:val="auto"/>
                <w:sz w:val="22"/>
                <w:szCs w:val="22"/>
                <w:lang w:val="ro-RO"/>
              </w:rPr>
              <w:t xml:space="preserve"> </w:t>
            </w:r>
            <w:hyperlink r:id="rId4" w:history="1">
              <w:r>
                <w:rPr>
                  <w:rStyle w:val="Hyperlink"/>
                  <w:rFonts w:ascii="Times New Roman" w:hAnsi="Times New Roman" w:cs="Times New Roman"/>
                  <w:color w:val="auto"/>
                  <w:sz w:val="22"/>
                  <w:szCs w:val="22"/>
                  <w:lang w:val="ro-RO"/>
                </w:rPr>
                <w:t>pct. 7</w:t>
              </w:r>
            </w:hyperlink>
            <w:r>
              <w:rPr>
                <w:rFonts w:ascii="Times New Roman" w:hAnsi="Times New Roman" w:cs="Times New Roman"/>
                <w:color w:val="auto"/>
                <w:sz w:val="22"/>
                <w:szCs w:val="22"/>
                <w:lang w:val="ro-RO"/>
              </w:rPr>
              <w:t xml:space="preserve"> din Legea </w:t>
            </w:r>
            <w:hyperlink r:id="rId5" w:history="1">
              <w:r>
                <w:rPr>
                  <w:rStyle w:val="Hyperlink"/>
                  <w:rFonts w:ascii="Times New Roman" w:hAnsi="Times New Roman" w:cs="Times New Roman"/>
                  <w:color w:val="auto"/>
                  <w:sz w:val="22"/>
                  <w:szCs w:val="22"/>
                  <w:lang w:val="ro-RO"/>
                </w:rPr>
                <w:t>nr. 136/1995</w:t>
              </w:r>
            </w:hyperlink>
            <w:r>
              <w:rPr>
                <w:rFonts w:ascii="Times New Roman" w:hAnsi="Times New Roman" w:cs="Times New Roman"/>
                <w:color w:val="auto"/>
                <w:sz w:val="22"/>
                <w:szCs w:val="22"/>
                <w:lang w:val="ro-RO"/>
              </w:rPr>
              <w:t>, cu modificările şi completările ulterioare, şi ale celorlalte state semnatare ale Acordului multilateral;</w:t>
            </w: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b/>
                <w:color w:val="auto"/>
                <w:sz w:val="22"/>
                <w:szCs w:val="22"/>
                <w:lang w:val="ro-RO"/>
              </w:rPr>
            </w:pPr>
            <w:r>
              <w:rPr>
                <w:sz w:val="22"/>
                <w:szCs w:val="22"/>
              </w:rPr>
              <w:t xml:space="preserve">c) </w:t>
            </w:r>
            <w:r>
              <w:rPr>
                <w:rFonts w:ascii="Times New Roman" w:hAnsi="Times New Roman" w:cs="Times New Roman"/>
                <w:b/>
                <w:color w:val="auto"/>
                <w:sz w:val="22"/>
                <w:szCs w:val="22"/>
                <w:lang w:val="ro-RO"/>
              </w:rPr>
              <w:t>dispun de o reţea teritorială formată din cel puţin o unitate, sucursală ori agenţie, înregistrată la oficiul registrului comerţului, în fiecare judeţ şi în municipiul Bucureşti, cu excepţia judeţului Ilfov, atât pentru activitatea de contractare a asigurării, cât şi pentru cea de constatare şi lichidare a daunelor pentru vehicule;</w:t>
            </w:r>
          </w:p>
          <w:p w:rsidR="00537789" w:rsidRDefault="00537789">
            <w:pPr>
              <w:pStyle w:val="Default"/>
              <w:jc w:val="both"/>
              <w:rPr>
                <w:rFonts w:ascii="Times New Roman" w:hAnsi="Times New Roman" w:cs="Times New Roman"/>
                <w:color w:val="auto"/>
                <w:sz w:val="22"/>
                <w:szCs w:val="22"/>
                <w:lang w:val="ro-RO"/>
              </w:rPr>
            </w:pPr>
            <w:r>
              <w:rPr>
                <w:rFonts w:ascii="Times New Roman" w:hAnsi="Times New Roman" w:cs="Times New Roman"/>
                <w:color w:val="auto"/>
                <w:sz w:val="22"/>
                <w:szCs w:val="22"/>
                <w:lang w:val="ro-RO"/>
              </w:rPr>
              <w:t>d) efectuează activitate de constatare a daunelor auto prin personal specializat, propriu sau mandatat, şi efectuează plăţi de despăgubiri în fiecare judeţ şi în municipiul Bucureşti, cu excepţia judeţului Ilfov;</w:t>
            </w:r>
          </w:p>
          <w:p w:rsidR="00537789" w:rsidRDefault="00537789">
            <w:pPr>
              <w:pStyle w:val="Default"/>
              <w:jc w:val="both"/>
              <w:rPr>
                <w:rFonts w:ascii="Times New Roman" w:hAnsi="Times New Roman" w:cs="Times New Roman"/>
                <w:color w:val="auto"/>
                <w:sz w:val="22"/>
                <w:szCs w:val="22"/>
                <w:lang w:val="ro-RO"/>
              </w:rPr>
            </w:pPr>
            <w:r>
              <w:rPr>
                <w:rFonts w:ascii="Times New Roman" w:hAnsi="Times New Roman" w:cs="Times New Roman"/>
                <w:color w:val="auto"/>
                <w:sz w:val="22"/>
                <w:szCs w:val="22"/>
                <w:lang w:val="ro-RO"/>
              </w:rPr>
              <w:lastRenderedPageBreak/>
              <w:t xml:space="preserve">e) dispun, </w:t>
            </w:r>
            <w:r>
              <w:rPr>
                <w:rFonts w:ascii="Times New Roman" w:hAnsi="Times New Roman" w:cs="Times New Roman"/>
                <w:b/>
                <w:color w:val="auto"/>
                <w:sz w:val="22"/>
                <w:szCs w:val="22"/>
                <w:lang w:val="ro-RO"/>
              </w:rPr>
              <w:t>atât pentru sediul central, cât şi pentru unităţi teritoriale,</w:t>
            </w:r>
            <w:r>
              <w:rPr>
                <w:rFonts w:ascii="Times New Roman" w:hAnsi="Times New Roman" w:cs="Times New Roman"/>
                <w:color w:val="auto"/>
                <w:sz w:val="22"/>
                <w:szCs w:val="22"/>
                <w:lang w:val="ro-RO"/>
              </w:rPr>
              <w:t xml:space="preserve"> de o dotare cu tehnică de calcul şi software adecvate şi de personal care să permită contractarea asigurării RCA, ţinerea unor evidenţe detaliate privind încheierea, derularea şi încetarea asigurării RCA, gestionarea dosarelor de daună şi transmiterea în format electronic a acestor informaţii către baza de date CEDAM; </w:t>
            </w:r>
          </w:p>
          <w:p w:rsidR="00537789" w:rsidRDefault="00537789">
            <w:pPr>
              <w:jc w:val="both"/>
            </w:pPr>
            <w:r>
              <w:rPr>
                <w:sz w:val="22"/>
                <w:szCs w:val="22"/>
              </w:rPr>
              <w:t xml:space="preserve">f) desfăşoară activitatea privind încheierea asigurării obligatorii RCA numai la: </w:t>
            </w:r>
          </w:p>
          <w:p w:rsidR="00537789" w:rsidRDefault="00537789">
            <w:pPr>
              <w:jc w:val="both"/>
            </w:pPr>
            <w:r>
              <w:rPr>
                <w:sz w:val="22"/>
                <w:szCs w:val="22"/>
              </w:rPr>
              <w:t xml:space="preserve">(i) sediile principale sau secundare ale asigurătorilor, ale intermediarilor de asigurări; </w:t>
            </w:r>
          </w:p>
          <w:p w:rsidR="00537789" w:rsidRDefault="00537789">
            <w:pPr>
              <w:jc w:val="both"/>
            </w:pPr>
            <w:r>
              <w:rPr>
                <w:sz w:val="22"/>
                <w:szCs w:val="22"/>
              </w:rPr>
              <w:t xml:space="preserve">(ii) sediile principale sau secundare ale asiguraţilor ori ale potenţialilor asiguraţi persoane juridice; </w:t>
            </w:r>
          </w:p>
          <w:p w:rsidR="00537789" w:rsidRDefault="00537789">
            <w:pPr>
              <w:jc w:val="both"/>
            </w:pPr>
            <w:r>
              <w:rPr>
                <w:sz w:val="22"/>
                <w:szCs w:val="22"/>
              </w:rPr>
              <w:t xml:space="preserve">(iii) domiciliul sau, după caz, reşedinţa asiguraţilor ori a potenţialilor asiguraţi persoane fizice; </w:t>
            </w:r>
          </w:p>
          <w:p w:rsidR="00537789" w:rsidRDefault="00537789">
            <w:pPr>
              <w:jc w:val="both"/>
            </w:pPr>
            <w:r>
              <w:rPr>
                <w:sz w:val="22"/>
                <w:szCs w:val="22"/>
              </w:rPr>
              <w:t xml:space="preserve">g) deţin un program de reasigurare care garantează o reţinere proprie prudenţială; </w:t>
            </w:r>
          </w:p>
          <w:p w:rsidR="00537789" w:rsidRDefault="00537789">
            <w:pPr>
              <w:jc w:val="both"/>
            </w:pPr>
            <w:r>
              <w:rPr>
                <w:sz w:val="22"/>
                <w:szCs w:val="22"/>
              </w:rPr>
              <w:t xml:space="preserve">h) sunt membri ai Biroului Asigurătorilor de Autovehicule din România, denumit în continuare BAAR, precum şi ai Asociaţiei "Fondul de protecţie a victimelor străzii". </w:t>
            </w:r>
          </w:p>
          <w:p w:rsidR="00537789" w:rsidRDefault="00537789">
            <w:pPr>
              <w:pStyle w:val="Default"/>
              <w:jc w:val="both"/>
              <w:rPr>
                <w:rFonts w:ascii="Times New Roman" w:hAnsi="Times New Roman" w:cs="Times New Roman"/>
                <w:color w:val="auto"/>
                <w:sz w:val="22"/>
                <w:szCs w:val="22"/>
                <w:lang w:val="ro-RO"/>
              </w:rPr>
            </w:pPr>
          </w:p>
          <w:p w:rsidR="00537789" w:rsidRDefault="00537789">
            <w:pPr>
              <w:spacing w:line="276" w:lineRule="auto"/>
            </w:pPr>
          </w:p>
        </w:tc>
        <w:tc>
          <w:tcPr>
            <w:tcW w:w="3510" w:type="dxa"/>
            <w:tcBorders>
              <w:top w:val="single" w:sz="4" w:space="0" w:color="auto"/>
              <w:left w:val="single" w:sz="4" w:space="0" w:color="auto"/>
              <w:bottom w:val="single" w:sz="4" w:space="0" w:color="auto"/>
              <w:right w:val="single" w:sz="4" w:space="0" w:color="auto"/>
            </w:tcBorders>
          </w:tcPr>
          <w:p w:rsidR="00537789" w:rsidRDefault="00537789">
            <w:pPr>
              <w:jc w:val="both"/>
            </w:pPr>
            <w:r>
              <w:rPr>
                <w:sz w:val="22"/>
                <w:szCs w:val="22"/>
              </w:rPr>
              <w:lastRenderedPageBreak/>
              <w:t>Art. 3. - (1) Asigurătorii pot practica asigurarea obligatorie RCA dacă îndeplinesc cumulativ următoarele condiţii speciale:</w:t>
            </w:r>
          </w:p>
          <w:p w:rsidR="00537789" w:rsidRDefault="00537789">
            <w:pPr>
              <w:jc w:val="both"/>
            </w:pPr>
          </w:p>
          <w:p w:rsidR="00537789" w:rsidRDefault="00537789">
            <w:pPr>
              <w:jc w:val="both"/>
            </w:pPr>
          </w:p>
          <w:p w:rsidR="00537789" w:rsidRDefault="00537789">
            <w:pPr>
              <w:jc w:val="both"/>
            </w:pPr>
          </w:p>
          <w:p w:rsidR="00537789" w:rsidRDefault="00537789">
            <w:pPr>
              <w:jc w:val="both"/>
            </w:pPr>
          </w:p>
          <w:p w:rsidR="00537789" w:rsidRDefault="00537789">
            <w:pPr>
              <w:jc w:val="both"/>
            </w:pPr>
          </w:p>
          <w:p w:rsidR="00537789" w:rsidRDefault="00537789">
            <w:pPr>
              <w:jc w:val="both"/>
            </w:pPr>
          </w:p>
          <w:p w:rsidR="00537789" w:rsidRDefault="00537789">
            <w:pPr>
              <w:jc w:val="both"/>
            </w:pPr>
            <w:r>
              <w:rPr>
                <w:sz w:val="22"/>
                <w:szCs w:val="22"/>
              </w:rPr>
              <w:t xml:space="preserve"> </w:t>
            </w:r>
          </w:p>
          <w:p w:rsidR="00537789" w:rsidRDefault="00537789">
            <w:pPr>
              <w:spacing w:line="276" w:lineRule="auto"/>
              <w:jc w:val="both"/>
              <w:rPr>
                <w:b/>
              </w:rPr>
            </w:pPr>
            <w:r>
              <w:rPr>
                <w:sz w:val="22"/>
                <w:szCs w:val="22"/>
              </w:rPr>
              <w:t>a) sunt autorizaţi pentru subscrierea riscurilor de răspundere civilă a vehiculelor</w:t>
            </w:r>
            <w:r>
              <w:rPr>
                <w:b/>
                <w:sz w:val="22"/>
                <w:szCs w:val="22"/>
              </w:rPr>
              <w:t>;</w:t>
            </w:r>
          </w:p>
          <w:p w:rsidR="00537789" w:rsidRDefault="00537789">
            <w:pPr>
              <w:spacing w:line="276" w:lineRule="auto"/>
              <w:jc w:val="both"/>
              <w:rPr>
                <w:b/>
              </w:rPr>
            </w:pPr>
          </w:p>
          <w:p w:rsidR="00537789" w:rsidRDefault="00537789">
            <w:pPr>
              <w:spacing w:line="276" w:lineRule="auto"/>
              <w:jc w:val="both"/>
              <w:rPr>
                <w:b/>
              </w:rPr>
            </w:pPr>
          </w:p>
          <w:p w:rsidR="00537789" w:rsidRDefault="00537789">
            <w:pPr>
              <w:spacing w:line="276" w:lineRule="auto"/>
              <w:jc w:val="both"/>
              <w:rPr>
                <w:b/>
              </w:rPr>
            </w:pPr>
          </w:p>
          <w:p w:rsidR="00537789" w:rsidRDefault="00537789">
            <w:pPr>
              <w:spacing w:line="276" w:lineRule="auto"/>
              <w:jc w:val="both"/>
              <w:rPr>
                <w:b/>
              </w:rPr>
            </w:pPr>
          </w:p>
          <w:p w:rsidR="00537789" w:rsidRDefault="00537789">
            <w:pPr>
              <w:spacing w:line="276" w:lineRule="auto"/>
              <w:jc w:val="both"/>
              <w:rPr>
                <w:b/>
              </w:rPr>
            </w:pPr>
          </w:p>
          <w:p w:rsidR="00537789" w:rsidRDefault="00537789">
            <w:pPr>
              <w:spacing w:line="276" w:lineRule="auto"/>
              <w:jc w:val="both"/>
              <w:rPr>
                <w:b/>
              </w:rPr>
            </w:pPr>
          </w:p>
          <w:p w:rsidR="00537789" w:rsidRDefault="00537789">
            <w:pPr>
              <w:spacing w:line="276" w:lineRule="auto"/>
              <w:jc w:val="both"/>
              <w:rPr>
                <w:b/>
              </w:rPr>
            </w:pPr>
          </w:p>
          <w:p w:rsidR="00537789" w:rsidRDefault="00537789">
            <w:pPr>
              <w:spacing w:line="276" w:lineRule="auto"/>
              <w:jc w:val="both"/>
              <w:rPr>
                <w:b/>
              </w:rPr>
            </w:pPr>
          </w:p>
          <w:p w:rsidR="00537789" w:rsidRDefault="00537789">
            <w:pPr>
              <w:spacing w:line="276" w:lineRule="auto"/>
              <w:jc w:val="both"/>
              <w:rPr>
                <w:b/>
              </w:rPr>
            </w:pPr>
          </w:p>
          <w:p w:rsidR="00537789" w:rsidRDefault="00537789">
            <w:pPr>
              <w:spacing w:line="276" w:lineRule="auto"/>
              <w:jc w:val="both"/>
              <w:rPr>
                <w:b/>
              </w:rPr>
            </w:pPr>
          </w:p>
          <w:p w:rsidR="00537789" w:rsidRDefault="00537789">
            <w:pPr>
              <w:spacing w:line="276" w:lineRule="auto"/>
              <w:jc w:val="both"/>
              <w:rPr>
                <w:b/>
              </w:rPr>
            </w:pPr>
          </w:p>
          <w:p w:rsidR="00537789" w:rsidRDefault="00537789">
            <w:pPr>
              <w:spacing w:line="276" w:lineRule="auto"/>
              <w:jc w:val="both"/>
              <w:rPr>
                <w:b/>
              </w:rPr>
            </w:pPr>
            <w:r>
              <w:rPr>
                <w:sz w:val="22"/>
                <w:szCs w:val="22"/>
              </w:rPr>
              <w:t xml:space="preserve">c) </w:t>
            </w:r>
            <w:r>
              <w:rPr>
                <w:b/>
                <w:sz w:val="22"/>
                <w:szCs w:val="22"/>
              </w:rPr>
              <w:t>se abroga</w:t>
            </w:r>
          </w:p>
          <w:p w:rsidR="00537789" w:rsidRDefault="00537789">
            <w:pPr>
              <w:spacing w:line="276" w:lineRule="auto"/>
              <w:jc w:val="both"/>
            </w:pPr>
          </w:p>
          <w:p w:rsidR="00537789" w:rsidRDefault="00537789">
            <w:pPr>
              <w:spacing w:line="276" w:lineRule="auto"/>
              <w:jc w:val="both"/>
            </w:pPr>
          </w:p>
          <w:p w:rsidR="00537789" w:rsidRDefault="00537789">
            <w:pPr>
              <w:spacing w:line="276" w:lineRule="auto"/>
              <w:jc w:val="both"/>
            </w:pPr>
          </w:p>
          <w:p w:rsidR="00537789" w:rsidRDefault="00537789">
            <w:pPr>
              <w:spacing w:line="276" w:lineRule="auto"/>
              <w:jc w:val="both"/>
            </w:pPr>
          </w:p>
          <w:p w:rsidR="00537789" w:rsidRDefault="00537789">
            <w:pPr>
              <w:spacing w:line="276" w:lineRule="auto"/>
              <w:jc w:val="both"/>
            </w:pPr>
          </w:p>
          <w:p w:rsidR="00537789" w:rsidRDefault="00537789">
            <w:pPr>
              <w:spacing w:line="276" w:lineRule="auto"/>
              <w:jc w:val="both"/>
            </w:pPr>
          </w:p>
          <w:p w:rsidR="00537789" w:rsidRDefault="00537789">
            <w:pPr>
              <w:spacing w:line="276" w:lineRule="auto"/>
              <w:jc w:val="both"/>
              <w:rPr>
                <w:b/>
              </w:rPr>
            </w:pPr>
            <w:r>
              <w:t xml:space="preserve">d) </w:t>
            </w:r>
            <w:r>
              <w:rPr>
                <w:sz w:val="22"/>
                <w:szCs w:val="22"/>
              </w:rPr>
              <w:t xml:space="preserve">efectuează activitate de constatare </w:t>
            </w:r>
            <w:r>
              <w:rPr>
                <w:b/>
                <w:sz w:val="22"/>
                <w:szCs w:val="22"/>
              </w:rPr>
              <w:t>şi lichidare a daunelor cu personal specializat propriu sau mandatat, şi efectuează plăţi de despăgubiri pe tot teritoriul României;</w:t>
            </w:r>
          </w:p>
          <w:p w:rsidR="00537789" w:rsidRDefault="00537789">
            <w:pPr>
              <w:spacing w:line="276" w:lineRule="auto"/>
              <w:jc w:val="both"/>
              <w:rPr>
                <w:lang w:val="en-US"/>
              </w:rPr>
            </w:pPr>
            <w:r>
              <w:rPr>
                <w:sz w:val="22"/>
                <w:szCs w:val="22"/>
              </w:rPr>
              <w:lastRenderedPageBreak/>
              <w:t>e) dispun de o dotare cu tehnică de calcul şi software adecvate şi de personal care să permită contractarea asigurării RCA, ţinerea unor evidenţe detaliate privind încheierea, derularea şi încetarea asigurării RCA, gestionarea dosarelor de daună şi transmiterea în format electronic a acestor informaţii către baza de date CEDAM;</w:t>
            </w:r>
          </w:p>
        </w:tc>
        <w:tc>
          <w:tcPr>
            <w:tcW w:w="2727" w:type="dxa"/>
            <w:tcBorders>
              <w:top w:val="single" w:sz="4" w:space="0" w:color="auto"/>
              <w:left w:val="single" w:sz="4" w:space="0" w:color="auto"/>
              <w:bottom w:val="single" w:sz="4" w:space="0" w:color="auto"/>
              <w:right w:val="single" w:sz="4" w:space="0" w:color="auto"/>
            </w:tcBorders>
            <w:hideMark/>
          </w:tcPr>
          <w:p w:rsidR="00537789" w:rsidRDefault="00537789">
            <w:pPr>
              <w:spacing w:line="276" w:lineRule="auto"/>
              <w:jc w:val="both"/>
            </w:pPr>
            <w:r>
              <w:rPr>
                <w:sz w:val="22"/>
                <w:szCs w:val="22"/>
              </w:rPr>
              <w:lastRenderedPageBreak/>
              <w:t>Acordarea unui acces facil pe piaţa din România a companiilor de asigurări din alte state care doresc să practice asigurarea RCA pe teritoriul României.</w:t>
            </w:r>
          </w:p>
          <w:p w:rsidR="00537789" w:rsidRDefault="00537789">
            <w:pPr>
              <w:spacing w:line="276" w:lineRule="auto"/>
              <w:jc w:val="both"/>
            </w:pPr>
            <w:r>
              <w:rPr>
                <w:sz w:val="22"/>
                <w:szCs w:val="22"/>
              </w:rPr>
              <w:t>Eliminarea trimiterii la daunele pentru vehicule, polita RCA avand o acoperire mai larga.</w:t>
            </w:r>
          </w:p>
        </w:tc>
      </w:tr>
      <w:tr w:rsidR="00537789" w:rsidTr="00537789">
        <w:tc>
          <w:tcPr>
            <w:tcW w:w="3618" w:type="dxa"/>
            <w:tcBorders>
              <w:top w:val="single" w:sz="4" w:space="0" w:color="auto"/>
              <w:left w:val="single" w:sz="4" w:space="0" w:color="auto"/>
              <w:bottom w:val="single" w:sz="4" w:space="0" w:color="auto"/>
              <w:right w:val="single" w:sz="4" w:space="0" w:color="auto"/>
            </w:tcBorders>
          </w:tcPr>
          <w:p w:rsidR="00537789" w:rsidRDefault="00537789">
            <w:pPr>
              <w:jc w:val="both"/>
            </w:pPr>
            <w:r>
              <w:rPr>
                <w:sz w:val="22"/>
                <w:szCs w:val="22"/>
              </w:rPr>
              <w:lastRenderedPageBreak/>
              <w:t>Art.4-1) În vederea autorizării pentru practicarea asigurării obligatorii RCA, asigurătorii solicitanţi trebuie să depună o cerere la Autoritatea de Supraveghere Financiară, împreună cu o documentaţie care cuprinde următoarele:</w:t>
            </w:r>
          </w:p>
          <w:p w:rsidR="00537789" w:rsidRDefault="00537789">
            <w:pPr>
              <w:jc w:val="both"/>
            </w:pPr>
            <w:r>
              <w:rPr>
                <w:sz w:val="22"/>
                <w:szCs w:val="22"/>
              </w:rPr>
              <w:t xml:space="preserve">a) documentaţia din care să rezulte îndeplinirea condiţiilor prevăzute la art. 3 alin. </w:t>
            </w:r>
            <w:r>
              <w:rPr>
                <w:b/>
                <w:sz w:val="22"/>
                <w:szCs w:val="22"/>
              </w:rPr>
              <w:t xml:space="preserve">(1) </w:t>
            </w:r>
            <w:hyperlink r:id="rId6" w:history="1">
              <w:r>
                <w:rPr>
                  <w:rStyle w:val="Hyperlink"/>
                  <w:b/>
                  <w:sz w:val="22"/>
                  <w:szCs w:val="22"/>
                </w:rPr>
                <w:t>lit. a)</w:t>
              </w:r>
            </w:hyperlink>
            <w:r>
              <w:rPr>
                <w:b/>
                <w:sz w:val="22"/>
                <w:szCs w:val="22"/>
              </w:rPr>
              <w:t>;</w:t>
            </w:r>
            <w:r>
              <w:rPr>
                <w:sz w:val="22"/>
                <w:szCs w:val="22"/>
              </w:rPr>
              <w:t xml:space="preserve"> </w:t>
            </w:r>
          </w:p>
          <w:p w:rsidR="00537789" w:rsidRDefault="00537789">
            <w:pPr>
              <w:jc w:val="both"/>
            </w:pPr>
            <w:r>
              <w:rPr>
                <w:sz w:val="22"/>
                <w:szCs w:val="22"/>
              </w:rPr>
              <w:t xml:space="preserve">b) lista reprezentanţilor de despăgubiri prevăzuţi la art. 3 alin. (1) </w:t>
            </w:r>
            <w:hyperlink r:id="rId7" w:history="1">
              <w:r>
                <w:rPr>
                  <w:rStyle w:val="Hyperlink"/>
                  <w:sz w:val="22"/>
                  <w:szCs w:val="22"/>
                </w:rPr>
                <w:t>lit. b)</w:t>
              </w:r>
            </w:hyperlink>
            <w:r>
              <w:rPr>
                <w:sz w:val="22"/>
                <w:szCs w:val="22"/>
              </w:rPr>
              <w:t xml:space="preserve">; </w:t>
            </w:r>
          </w:p>
          <w:p w:rsidR="00537789" w:rsidRDefault="00537789">
            <w:pPr>
              <w:jc w:val="both"/>
            </w:pPr>
            <w:r>
              <w:rPr>
                <w:sz w:val="22"/>
                <w:szCs w:val="22"/>
              </w:rPr>
              <w:t xml:space="preserve">c) </w:t>
            </w:r>
            <w:r>
              <w:rPr>
                <w:b/>
                <w:sz w:val="22"/>
                <w:szCs w:val="22"/>
              </w:rPr>
              <w:t xml:space="preserve">lista unităţilor teritoriale ale </w:t>
            </w:r>
            <w:r>
              <w:rPr>
                <w:b/>
                <w:sz w:val="22"/>
                <w:szCs w:val="22"/>
              </w:rPr>
              <w:lastRenderedPageBreak/>
              <w:t xml:space="preserve">asigurătorului unde acesta desfăşoară activităţile prevăzute la art. 3 alin. (1) </w:t>
            </w:r>
            <w:hyperlink r:id="rId8" w:history="1">
              <w:r>
                <w:rPr>
                  <w:rStyle w:val="Hyperlink"/>
                  <w:b/>
                  <w:sz w:val="22"/>
                  <w:szCs w:val="22"/>
                </w:rPr>
                <w:t>lit. c)</w:t>
              </w:r>
            </w:hyperlink>
            <w:r>
              <w:rPr>
                <w:b/>
                <w:sz w:val="22"/>
                <w:szCs w:val="22"/>
              </w:rPr>
              <w:t>, însoţită de actele doveditoare, eliberate de oficiul registrului comerţului, care atestă existenţa acestor unităţi teritoriale;</w:t>
            </w:r>
            <w:r>
              <w:rPr>
                <w:sz w:val="22"/>
                <w:szCs w:val="22"/>
              </w:rPr>
              <w:t xml:space="preserve"> </w:t>
            </w:r>
          </w:p>
          <w:p w:rsidR="00537789" w:rsidRDefault="00537789">
            <w:pPr>
              <w:jc w:val="both"/>
            </w:pPr>
            <w:r>
              <w:rPr>
                <w:sz w:val="22"/>
                <w:szCs w:val="22"/>
              </w:rPr>
              <w:t xml:space="preserve">d) lista sediilor aparţinând persoanelor juridice cu care asigurătorul are încheiate contracte de mandat pentru desfăşurarea activităţii de contractare a asigurării, însoţită de actele doveditoare, eliberate de oficiul registrului comerţului, care atestă existenţa acestor unităţi teritoriale; </w:t>
            </w:r>
          </w:p>
          <w:p w:rsidR="00537789" w:rsidRDefault="00537789">
            <w:pPr>
              <w:jc w:val="both"/>
            </w:pPr>
            <w:r>
              <w:rPr>
                <w:sz w:val="22"/>
                <w:szCs w:val="22"/>
              </w:rPr>
              <w:t xml:space="preserve">e) lista personalului de specialitate responsabil cu desfăşurarea activităţii de constatare şi lichidare a daunelor auto, structura de lucru necesară efectuării plăţilor de despăgubiri, precum şi alte informaţii considerate relevante, </w:t>
            </w:r>
            <w:r>
              <w:rPr>
                <w:b/>
                <w:sz w:val="22"/>
                <w:szCs w:val="22"/>
              </w:rPr>
              <w:t>pentru fiecare unitate teritorială</w:t>
            </w:r>
            <w:r>
              <w:rPr>
                <w:sz w:val="22"/>
                <w:szCs w:val="22"/>
              </w:rPr>
              <w:t xml:space="preserve">, sub semnătura conducătorului executiv al societăţii; </w:t>
            </w:r>
          </w:p>
          <w:p w:rsidR="00537789" w:rsidRDefault="00537789">
            <w:pPr>
              <w:jc w:val="both"/>
            </w:pPr>
            <w:r>
              <w:rPr>
                <w:sz w:val="22"/>
                <w:szCs w:val="22"/>
              </w:rPr>
              <w:t xml:space="preserve">f) declaraţia conducătorului executiv al societăţii, precum şi a conducătorului compartimentului de specialitate cu privire la îndeplinirea condiţiilor prevăzute la art. 3 alin. (1) </w:t>
            </w:r>
            <w:hyperlink r:id="rId9" w:history="1">
              <w:r>
                <w:rPr>
                  <w:rStyle w:val="Hyperlink"/>
                  <w:sz w:val="22"/>
                  <w:szCs w:val="22"/>
                </w:rPr>
                <w:t>lit. e)</w:t>
              </w:r>
            </w:hyperlink>
            <w:r>
              <w:rPr>
                <w:sz w:val="22"/>
                <w:szCs w:val="22"/>
              </w:rPr>
              <w:t xml:space="preserve">; </w:t>
            </w:r>
          </w:p>
          <w:p w:rsidR="00537789" w:rsidRDefault="00537789">
            <w:pPr>
              <w:jc w:val="both"/>
            </w:pPr>
            <w:r>
              <w:rPr>
                <w:sz w:val="22"/>
                <w:szCs w:val="22"/>
              </w:rPr>
              <w:t xml:space="preserve">g) nota de fundamentare, care să cuprindă în mod obligatoriu tarifele de primă pentru primii 2 ani şi metodele actuariale de calcul utilizate pentru stabilirea tarifelor de primă, potrivit prevederilor </w:t>
            </w:r>
            <w:hyperlink r:id="rId10" w:history="1">
              <w:r>
                <w:rPr>
                  <w:rStyle w:val="Hyperlink"/>
                  <w:sz w:val="22"/>
                  <w:szCs w:val="22"/>
                </w:rPr>
                <w:t>art. 21</w:t>
              </w:r>
            </w:hyperlink>
            <w:r>
              <w:rPr>
                <w:sz w:val="22"/>
                <w:szCs w:val="22"/>
              </w:rPr>
              <w:t xml:space="preserve">, precum şi o estimare a indicatorilor specifici pentru o perioadă de 5 ani; </w:t>
            </w:r>
          </w:p>
          <w:p w:rsidR="00537789" w:rsidRDefault="00537789">
            <w:pPr>
              <w:jc w:val="both"/>
            </w:pPr>
            <w:r>
              <w:rPr>
                <w:sz w:val="22"/>
                <w:szCs w:val="22"/>
              </w:rPr>
              <w:t xml:space="preserve">h) declaraţia conducătorului executiv al societăţii privind îndeplinirea condiţiilor necesare respectării prevederilor art. 20 </w:t>
            </w:r>
            <w:hyperlink r:id="rId11" w:history="1">
              <w:r>
                <w:rPr>
                  <w:rStyle w:val="Hyperlink"/>
                  <w:sz w:val="22"/>
                  <w:szCs w:val="22"/>
                </w:rPr>
                <w:t>alin. (4)</w:t>
              </w:r>
            </w:hyperlink>
            <w:r>
              <w:rPr>
                <w:sz w:val="22"/>
                <w:szCs w:val="22"/>
              </w:rPr>
              <w:t xml:space="preserve">. </w:t>
            </w:r>
          </w:p>
          <w:p w:rsidR="00537789" w:rsidRDefault="00537789">
            <w:pPr>
              <w:jc w:val="both"/>
            </w:pPr>
          </w:p>
        </w:tc>
        <w:tc>
          <w:tcPr>
            <w:tcW w:w="3510" w:type="dxa"/>
            <w:tcBorders>
              <w:top w:val="single" w:sz="4" w:space="0" w:color="auto"/>
              <w:left w:val="single" w:sz="4" w:space="0" w:color="auto"/>
              <w:bottom w:val="single" w:sz="4" w:space="0" w:color="auto"/>
              <w:right w:val="single" w:sz="4" w:space="0" w:color="auto"/>
            </w:tcBorders>
          </w:tcPr>
          <w:p w:rsidR="00537789" w:rsidRDefault="00537789"/>
          <w:p w:rsidR="00537789" w:rsidRDefault="00537789"/>
          <w:p w:rsidR="00537789" w:rsidRDefault="00537789"/>
          <w:p w:rsidR="00537789" w:rsidRDefault="00537789"/>
          <w:p w:rsidR="00537789" w:rsidRDefault="00537789"/>
          <w:p w:rsidR="00537789" w:rsidRDefault="00537789"/>
          <w:p w:rsidR="00537789" w:rsidRDefault="00537789"/>
          <w:p w:rsidR="00537789" w:rsidRDefault="00537789">
            <w:r>
              <w:rPr>
                <w:sz w:val="22"/>
                <w:szCs w:val="22"/>
              </w:rPr>
              <w:t xml:space="preserve">a) documentaţia din care să rezulte îndeplinirea condiţiilor prevăzute la art. 3; </w:t>
            </w:r>
          </w:p>
          <w:p w:rsidR="00537789" w:rsidRDefault="00537789"/>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b/>
                <w:color w:val="auto"/>
                <w:sz w:val="22"/>
                <w:szCs w:val="22"/>
                <w:lang w:val="ro-RO"/>
              </w:rPr>
            </w:pPr>
            <w:r>
              <w:rPr>
                <w:rFonts w:ascii="Times New Roman" w:hAnsi="Times New Roman" w:cs="Times New Roman"/>
                <w:color w:val="auto"/>
                <w:sz w:val="22"/>
                <w:szCs w:val="22"/>
                <w:lang w:val="ro-RO"/>
              </w:rPr>
              <w:t xml:space="preserve">c) </w:t>
            </w:r>
            <w:r>
              <w:rPr>
                <w:rFonts w:ascii="Times New Roman" w:hAnsi="Times New Roman" w:cs="Times New Roman"/>
                <w:b/>
                <w:color w:val="auto"/>
                <w:sz w:val="22"/>
                <w:szCs w:val="22"/>
                <w:lang w:val="ro-RO"/>
              </w:rPr>
              <w:t>se abroga</w:t>
            </w: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p>
          <w:p w:rsidR="00537789" w:rsidRDefault="00537789">
            <w:pPr>
              <w:pStyle w:val="Default"/>
              <w:jc w:val="both"/>
              <w:rPr>
                <w:rFonts w:ascii="Times New Roman" w:hAnsi="Times New Roman" w:cs="Times New Roman"/>
                <w:color w:val="auto"/>
                <w:sz w:val="22"/>
                <w:szCs w:val="22"/>
                <w:lang w:val="ro-RO"/>
              </w:rPr>
            </w:pPr>
          </w:p>
          <w:p w:rsidR="00537789" w:rsidRDefault="00537789">
            <w:pPr>
              <w:jc w:val="both"/>
            </w:pPr>
            <w:r>
              <w:rPr>
                <w:sz w:val="22"/>
                <w:szCs w:val="22"/>
              </w:rPr>
              <w:t xml:space="preserve">e) lista personalului de specialitate responsabil cu desfăşurarea activităţii de constatare şi lichidare a daunelor auto, structura de lucru necesară efectuării plăţilor de despăgubiri, precum şi alte informaţii considerate relevante, sub semnătura conducătorului executiv al societăţii; </w:t>
            </w:r>
          </w:p>
          <w:p w:rsidR="00537789" w:rsidRDefault="00537789">
            <w:pPr>
              <w:pStyle w:val="Default"/>
              <w:jc w:val="both"/>
              <w:rPr>
                <w:rFonts w:ascii="Times New Roman" w:hAnsi="Times New Roman" w:cs="Times New Roman"/>
                <w:color w:val="auto"/>
                <w:sz w:val="22"/>
                <w:szCs w:val="22"/>
                <w:lang w:val="ro-RO"/>
              </w:rPr>
            </w:pPr>
          </w:p>
        </w:tc>
        <w:tc>
          <w:tcPr>
            <w:tcW w:w="2727" w:type="dxa"/>
            <w:tcBorders>
              <w:top w:val="single" w:sz="4" w:space="0" w:color="auto"/>
              <w:left w:val="single" w:sz="4" w:space="0" w:color="auto"/>
              <w:bottom w:val="single" w:sz="4" w:space="0" w:color="auto"/>
              <w:right w:val="single" w:sz="4" w:space="0" w:color="auto"/>
            </w:tcBorders>
          </w:tcPr>
          <w:p w:rsidR="00537789" w:rsidRDefault="00537789">
            <w:pPr>
              <w:autoSpaceDE w:val="0"/>
              <w:autoSpaceDN w:val="0"/>
              <w:adjustRightInd w:val="0"/>
              <w:spacing w:line="276" w:lineRule="auto"/>
            </w:pPr>
          </w:p>
        </w:tc>
      </w:tr>
      <w:tr w:rsidR="00537789" w:rsidTr="00537789">
        <w:tc>
          <w:tcPr>
            <w:tcW w:w="3618" w:type="dxa"/>
            <w:tcBorders>
              <w:top w:val="single" w:sz="4" w:space="0" w:color="auto"/>
              <w:left w:val="single" w:sz="4" w:space="0" w:color="auto"/>
              <w:bottom w:val="single" w:sz="4" w:space="0" w:color="auto"/>
              <w:right w:val="single" w:sz="4" w:space="0" w:color="auto"/>
            </w:tcBorders>
          </w:tcPr>
          <w:p w:rsidR="00537789" w:rsidRDefault="00537789">
            <w:pPr>
              <w:jc w:val="both"/>
            </w:pPr>
            <w:r>
              <w:rPr>
                <w:b/>
                <w:sz w:val="22"/>
                <w:szCs w:val="22"/>
              </w:rPr>
              <w:lastRenderedPageBreak/>
              <w:t>Art. 39.</w:t>
            </w:r>
            <w:r>
              <w:rPr>
                <w:sz w:val="22"/>
                <w:szCs w:val="22"/>
              </w:rPr>
              <w:t xml:space="preserve"> - (1) Pentru acoperirea prejudiciilor suferite în urma producerii unor accidente de vehicule, persoanele păgubite se adresează în vederea avizării daunei asigurătorului RCA cu care </w:t>
            </w:r>
            <w:r>
              <w:rPr>
                <w:sz w:val="22"/>
                <w:szCs w:val="22"/>
              </w:rPr>
              <w:lastRenderedPageBreak/>
              <w:t xml:space="preserve">proprietarul vehiculului, răspunzător de producerea accidentului, a încheiat asigurarea obligatorie RCA, la reprezentanţa de despăgubiri, la Asociaţia "Fondul de protecţie a victimelor străzii" ori către BAAR, în calitatea sa de birou gestionar. </w:t>
            </w:r>
          </w:p>
          <w:p w:rsidR="00537789" w:rsidRDefault="00537789">
            <w:pPr>
              <w:jc w:val="both"/>
            </w:pPr>
            <w:r>
              <w:rPr>
                <w:sz w:val="22"/>
                <w:szCs w:val="22"/>
              </w:rPr>
              <w:t xml:space="preserve">(2) Avizarea unei daune în legătură cu producerea unui eveniment asigurat prin poliţa de asigurare RCA obligă asigurătorul RCA răspunzător să deschidă dosarul de daună, să efectueze constatarea pagubelor, să comunice în scris părţii prejudiciate cu privire la documentele ce trebuie depuse pentru soluţionarea pretenţiilor de despăgubire şi să soluţioneze cererea în termenul legal. </w:t>
            </w:r>
          </w:p>
          <w:p w:rsidR="00537789" w:rsidRDefault="00537789">
            <w:pPr>
              <w:jc w:val="both"/>
            </w:pPr>
            <w:r>
              <w:rPr>
                <w:sz w:val="22"/>
                <w:szCs w:val="22"/>
              </w:rPr>
              <w:t xml:space="preserve">(3) Asigurătorul are obligaţia înregistrării tuturor documentelor depuse la dosarul de daună. </w:t>
            </w:r>
          </w:p>
          <w:p w:rsidR="00537789" w:rsidRDefault="00537789">
            <w:pPr>
              <w:jc w:val="both"/>
            </w:pPr>
          </w:p>
        </w:tc>
        <w:tc>
          <w:tcPr>
            <w:tcW w:w="3510" w:type="dxa"/>
            <w:tcBorders>
              <w:top w:val="single" w:sz="4" w:space="0" w:color="auto"/>
              <w:left w:val="single" w:sz="4" w:space="0" w:color="auto"/>
              <w:bottom w:val="single" w:sz="4" w:space="0" w:color="auto"/>
              <w:right w:val="single" w:sz="4" w:space="0" w:color="auto"/>
            </w:tcBorders>
          </w:tcPr>
          <w:p w:rsidR="00537789" w:rsidRDefault="00537789"/>
          <w:p w:rsidR="00537789" w:rsidRDefault="00537789"/>
          <w:p w:rsidR="00537789" w:rsidRDefault="00537789"/>
          <w:p w:rsidR="00537789" w:rsidRDefault="00537789"/>
          <w:p w:rsidR="00537789" w:rsidRDefault="00537789"/>
          <w:p w:rsidR="00537789" w:rsidRDefault="00537789"/>
          <w:p w:rsidR="00537789" w:rsidRDefault="00537789"/>
          <w:p w:rsidR="00537789" w:rsidRDefault="00537789"/>
          <w:p w:rsidR="00537789" w:rsidRDefault="00537789">
            <w:pPr>
              <w:jc w:val="both"/>
            </w:pPr>
          </w:p>
          <w:p w:rsidR="00537789" w:rsidRDefault="00537789">
            <w:pPr>
              <w:jc w:val="both"/>
            </w:pPr>
          </w:p>
          <w:p w:rsidR="00537789" w:rsidRDefault="00537789">
            <w:pPr>
              <w:jc w:val="both"/>
            </w:pPr>
          </w:p>
          <w:p w:rsidR="00537789" w:rsidRDefault="00537789">
            <w:pPr>
              <w:jc w:val="both"/>
            </w:pPr>
          </w:p>
          <w:p w:rsidR="00537789" w:rsidRDefault="00537789">
            <w:pPr>
              <w:jc w:val="both"/>
            </w:pPr>
          </w:p>
          <w:p w:rsidR="00537789" w:rsidRDefault="00537789">
            <w:pPr>
              <w:jc w:val="both"/>
            </w:pPr>
          </w:p>
          <w:p w:rsidR="00537789" w:rsidRDefault="00537789">
            <w:pPr>
              <w:jc w:val="both"/>
            </w:pPr>
            <w:r>
              <w:rPr>
                <w:sz w:val="22"/>
                <w:szCs w:val="22"/>
              </w:rPr>
              <w:t>Dupa alin (3) se va introduce alin.(4) cu urmatorul continut:</w:t>
            </w:r>
          </w:p>
          <w:p w:rsidR="00537789" w:rsidRDefault="00537789">
            <w:pPr>
              <w:jc w:val="both"/>
            </w:pPr>
          </w:p>
          <w:p w:rsidR="00537789" w:rsidRDefault="00537789">
            <w:pPr>
              <w:jc w:val="both"/>
            </w:pPr>
            <w:r>
              <w:rPr>
                <w:b/>
                <w:sz w:val="22"/>
                <w:szCs w:val="22"/>
              </w:rPr>
              <w:t xml:space="preserve">(4) </w:t>
            </w:r>
            <w:r>
              <w:rPr>
                <w:b/>
              </w:rPr>
              <w:t>Asigurătorul RCA are obligaţia de a efectua constatarea pagubelor în termen de maximum 5 zile lucrătoare de la data luării la cunoștință a producerii evenimentului</w:t>
            </w:r>
            <w:r>
              <w:t>;</w:t>
            </w:r>
          </w:p>
          <w:p w:rsidR="00537789" w:rsidRDefault="00537789"/>
        </w:tc>
        <w:tc>
          <w:tcPr>
            <w:tcW w:w="2727" w:type="dxa"/>
            <w:tcBorders>
              <w:top w:val="single" w:sz="4" w:space="0" w:color="auto"/>
              <w:left w:val="single" w:sz="4" w:space="0" w:color="auto"/>
              <w:bottom w:val="single" w:sz="4" w:space="0" w:color="auto"/>
              <w:right w:val="single" w:sz="4" w:space="0" w:color="auto"/>
            </w:tcBorders>
          </w:tcPr>
          <w:p w:rsidR="00537789" w:rsidRDefault="00537789">
            <w:pPr>
              <w:autoSpaceDE w:val="0"/>
              <w:autoSpaceDN w:val="0"/>
              <w:adjustRightInd w:val="0"/>
              <w:spacing w:line="276" w:lineRule="auto"/>
            </w:pPr>
          </w:p>
          <w:p w:rsidR="00537789" w:rsidRDefault="00537789">
            <w:pPr>
              <w:autoSpaceDE w:val="0"/>
              <w:autoSpaceDN w:val="0"/>
              <w:adjustRightInd w:val="0"/>
              <w:spacing w:line="276" w:lineRule="auto"/>
            </w:pPr>
          </w:p>
          <w:p w:rsidR="00537789" w:rsidRDefault="00537789">
            <w:pPr>
              <w:autoSpaceDE w:val="0"/>
              <w:autoSpaceDN w:val="0"/>
              <w:adjustRightInd w:val="0"/>
              <w:spacing w:line="276" w:lineRule="auto"/>
            </w:pPr>
          </w:p>
          <w:p w:rsidR="00537789" w:rsidRDefault="00537789">
            <w:pPr>
              <w:autoSpaceDE w:val="0"/>
              <w:autoSpaceDN w:val="0"/>
              <w:adjustRightInd w:val="0"/>
              <w:spacing w:line="276" w:lineRule="auto"/>
            </w:pPr>
          </w:p>
          <w:p w:rsidR="00537789" w:rsidRDefault="00537789">
            <w:pPr>
              <w:autoSpaceDE w:val="0"/>
              <w:autoSpaceDN w:val="0"/>
              <w:adjustRightInd w:val="0"/>
              <w:spacing w:line="276" w:lineRule="auto"/>
            </w:pPr>
          </w:p>
          <w:p w:rsidR="00537789" w:rsidRDefault="00537789">
            <w:pPr>
              <w:autoSpaceDE w:val="0"/>
              <w:autoSpaceDN w:val="0"/>
              <w:adjustRightInd w:val="0"/>
              <w:spacing w:line="276" w:lineRule="auto"/>
            </w:pPr>
          </w:p>
          <w:p w:rsidR="00537789" w:rsidRDefault="00537789">
            <w:pPr>
              <w:autoSpaceDE w:val="0"/>
              <w:autoSpaceDN w:val="0"/>
              <w:adjustRightInd w:val="0"/>
              <w:spacing w:line="276" w:lineRule="auto"/>
            </w:pPr>
          </w:p>
          <w:p w:rsidR="00537789" w:rsidRDefault="00537789">
            <w:pPr>
              <w:autoSpaceDE w:val="0"/>
              <w:autoSpaceDN w:val="0"/>
              <w:adjustRightInd w:val="0"/>
              <w:spacing w:line="276" w:lineRule="auto"/>
            </w:pPr>
          </w:p>
          <w:p w:rsidR="00537789" w:rsidRDefault="00537789">
            <w:pPr>
              <w:autoSpaceDE w:val="0"/>
              <w:autoSpaceDN w:val="0"/>
              <w:adjustRightInd w:val="0"/>
              <w:spacing w:line="276" w:lineRule="auto"/>
            </w:pPr>
          </w:p>
          <w:p w:rsidR="00537789" w:rsidRDefault="00537789">
            <w:pPr>
              <w:autoSpaceDE w:val="0"/>
              <w:autoSpaceDN w:val="0"/>
              <w:adjustRightInd w:val="0"/>
              <w:spacing w:line="276" w:lineRule="auto"/>
            </w:pPr>
          </w:p>
          <w:p w:rsidR="00537789" w:rsidRDefault="00537789">
            <w:pPr>
              <w:autoSpaceDE w:val="0"/>
              <w:autoSpaceDN w:val="0"/>
              <w:adjustRightInd w:val="0"/>
              <w:spacing w:line="276" w:lineRule="auto"/>
            </w:pPr>
          </w:p>
          <w:p w:rsidR="00537789" w:rsidRDefault="00537789">
            <w:pPr>
              <w:autoSpaceDE w:val="0"/>
              <w:autoSpaceDN w:val="0"/>
              <w:adjustRightInd w:val="0"/>
              <w:spacing w:line="276" w:lineRule="auto"/>
            </w:pPr>
          </w:p>
          <w:p w:rsidR="00537789" w:rsidRDefault="00537789">
            <w:pPr>
              <w:autoSpaceDE w:val="0"/>
              <w:autoSpaceDN w:val="0"/>
              <w:adjustRightInd w:val="0"/>
              <w:spacing w:line="276" w:lineRule="auto"/>
              <w:jc w:val="both"/>
            </w:pPr>
            <w:r>
              <w:rPr>
                <w:sz w:val="22"/>
                <w:szCs w:val="22"/>
              </w:rPr>
              <w:t>Necesitatea introducerii unui termen pentru constatarea pagubelor a aparut datorita faptului ca unii asiguratorii acorda termene pentru acest lucru, ajungand pana la 1 luna, in cazul sarbatorilor</w:t>
            </w:r>
          </w:p>
        </w:tc>
      </w:tr>
      <w:tr w:rsidR="00537789" w:rsidTr="00537789">
        <w:tc>
          <w:tcPr>
            <w:tcW w:w="3618" w:type="dxa"/>
            <w:tcBorders>
              <w:top w:val="single" w:sz="4" w:space="0" w:color="auto"/>
              <w:left w:val="single" w:sz="4" w:space="0" w:color="auto"/>
              <w:bottom w:val="single" w:sz="4" w:space="0" w:color="auto"/>
              <w:right w:val="single" w:sz="4" w:space="0" w:color="auto"/>
            </w:tcBorders>
            <w:hideMark/>
          </w:tcPr>
          <w:p w:rsidR="00537789" w:rsidRDefault="00537789">
            <w:pPr>
              <w:jc w:val="both"/>
            </w:pPr>
            <w:r>
              <w:rPr>
                <w:b/>
                <w:sz w:val="22"/>
                <w:szCs w:val="22"/>
              </w:rPr>
              <w:lastRenderedPageBreak/>
              <w:t xml:space="preserve">Art.22-(1) </w:t>
            </w:r>
            <w:r>
              <w:rPr>
                <w:sz w:val="22"/>
                <w:szCs w:val="22"/>
              </w:rPr>
              <w:t>Asigurătorii RCA au obligaţia de a asigura accesul potenţialilor clienţi la tarifele de primă practicate pe site-ul fiecărui asigurător RCA, la sediul social al acestuia şi la unităţile teritoriale, precum şi de a oferi toate informaţiile în legătură cu criteriile luate în calcul la stabilirea primei de asigurare.</w:t>
            </w:r>
          </w:p>
        </w:tc>
        <w:tc>
          <w:tcPr>
            <w:tcW w:w="3510" w:type="dxa"/>
            <w:tcBorders>
              <w:top w:val="single" w:sz="4" w:space="0" w:color="auto"/>
              <w:left w:val="single" w:sz="4" w:space="0" w:color="auto"/>
              <w:bottom w:val="single" w:sz="4" w:space="0" w:color="auto"/>
              <w:right w:val="single" w:sz="4" w:space="0" w:color="auto"/>
            </w:tcBorders>
            <w:hideMark/>
          </w:tcPr>
          <w:p w:rsidR="00537789" w:rsidRDefault="00537789">
            <w:pPr>
              <w:pStyle w:val="NormalWeb"/>
              <w:spacing w:before="0" w:beforeAutospacing="0" w:after="0" w:afterAutospacing="0"/>
              <w:jc w:val="both"/>
            </w:pPr>
            <w:r>
              <w:rPr>
                <w:rFonts w:ascii="Times New Roman" w:eastAsia="Times New Roman" w:hAnsi="Times New Roman" w:cs="Times New Roman"/>
                <w:b/>
                <w:sz w:val="22"/>
                <w:szCs w:val="22"/>
                <w:lang w:val="ro-RO"/>
              </w:rPr>
              <w:t>Art. 22. - (1)</w:t>
            </w:r>
            <w:r>
              <w:rPr>
                <w:rFonts w:ascii="Times New Roman" w:eastAsia="Times New Roman" w:hAnsi="Times New Roman" w:cs="Times New Roman"/>
                <w:sz w:val="22"/>
                <w:szCs w:val="22"/>
                <w:lang w:val="ro-RO"/>
              </w:rPr>
              <w:t xml:space="preserve"> Asigurătorii RCA au obligaţia de a asigura accesul potenţialilor clienţi la tarifele de primă practicate pe site-ul fiecărui asigurător RCA, </w:t>
            </w:r>
            <w:r>
              <w:rPr>
                <w:rFonts w:ascii="Times New Roman" w:eastAsia="Times New Roman" w:hAnsi="Times New Roman" w:cs="Times New Roman"/>
                <w:b/>
                <w:sz w:val="22"/>
                <w:szCs w:val="22"/>
                <w:lang w:val="ro-RO"/>
              </w:rPr>
              <w:t>la sediile/punctele de lucru ale</w:t>
            </w:r>
            <w:r>
              <w:rPr>
                <w:rFonts w:ascii="Times New Roman" w:eastAsia="Times New Roman" w:hAnsi="Times New Roman" w:cs="Times New Roman"/>
                <w:sz w:val="22"/>
                <w:szCs w:val="22"/>
                <w:lang w:val="ro-RO"/>
              </w:rPr>
              <w:t xml:space="preserve"> acestuia, precum şi de a oferi toate informaţiile în legătură cu criteriile luate în calcul la stabilirea primei de asigurare.</w:t>
            </w:r>
          </w:p>
        </w:tc>
        <w:tc>
          <w:tcPr>
            <w:tcW w:w="2727" w:type="dxa"/>
            <w:tcBorders>
              <w:top w:val="single" w:sz="4" w:space="0" w:color="auto"/>
              <w:left w:val="single" w:sz="4" w:space="0" w:color="auto"/>
              <w:bottom w:val="single" w:sz="4" w:space="0" w:color="auto"/>
              <w:right w:val="single" w:sz="4" w:space="0" w:color="auto"/>
            </w:tcBorders>
            <w:hideMark/>
          </w:tcPr>
          <w:p w:rsidR="00537789" w:rsidRDefault="00537789">
            <w:pPr>
              <w:autoSpaceDE w:val="0"/>
              <w:autoSpaceDN w:val="0"/>
              <w:adjustRightInd w:val="0"/>
              <w:spacing w:line="276" w:lineRule="auto"/>
            </w:pPr>
            <w:r>
              <w:rPr>
                <w:sz w:val="22"/>
                <w:szCs w:val="22"/>
              </w:rPr>
              <w:t>Corelare cu modificările anterioare</w:t>
            </w:r>
          </w:p>
        </w:tc>
      </w:tr>
      <w:tr w:rsidR="00537789" w:rsidTr="00537789">
        <w:tc>
          <w:tcPr>
            <w:tcW w:w="3618" w:type="dxa"/>
            <w:tcBorders>
              <w:top w:val="single" w:sz="4" w:space="0" w:color="auto"/>
              <w:left w:val="single" w:sz="4" w:space="0" w:color="auto"/>
              <w:bottom w:val="single" w:sz="4" w:space="0" w:color="auto"/>
              <w:right w:val="single" w:sz="4" w:space="0" w:color="auto"/>
            </w:tcBorders>
          </w:tcPr>
          <w:p w:rsidR="00537789" w:rsidRDefault="00537789">
            <w:pPr>
              <w:jc w:val="both"/>
            </w:pPr>
            <w:r>
              <w:rPr>
                <w:b/>
                <w:sz w:val="22"/>
                <w:szCs w:val="22"/>
              </w:rPr>
              <w:t>Art.58-(2)</w:t>
            </w:r>
            <w:r>
              <w:rPr>
                <w:sz w:val="22"/>
                <w:szCs w:val="22"/>
              </w:rPr>
              <w:t xml:space="preserve"> În cazul în care în drepturile persoanei păgubite s-a subrogat asigurătorul acesteia, asigurătorul RCA efectuează plata despăgubirilor astfel: </w:t>
            </w:r>
          </w:p>
          <w:p w:rsidR="00537789" w:rsidRDefault="00537789">
            <w:pPr>
              <w:jc w:val="both"/>
            </w:pPr>
            <w:r>
              <w:rPr>
                <w:sz w:val="22"/>
                <w:szCs w:val="22"/>
              </w:rPr>
              <w:t xml:space="preserve">a) dacă nu există obiecţii asupra sumelor solicitate, acestea se vor achita în cel mult 15 zile calendaristice de la data avizării scrise, efectuată de asigurătorul subrogat în drepturile persoanei păgubite, însoţită de documentele justificative. Avizarea de plată poate fi făcută la sediul social sau la oricare dintre unităţile teritoriale ale asigurătorului RCA care desfăşoară activităţi de constatare, de lichidare a daunelor auto şi de efectuare a </w:t>
            </w:r>
            <w:r>
              <w:rPr>
                <w:sz w:val="22"/>
                <w:szCs w:val="22"/>
              </w:rPr>
              <w:lastRenderedPageBreak/>
              <w:t xml:space="preserve">plăţilor de despăgubiri. Acţiunea în justiţie împotriva asigurătorului RCA poate fi exercitată, în mod alternativ, la oricare dintre sediile asigurătorului, respectiv la sediul social ori la sucursala care a emis poliţa de asigurare RCA sau la sucursala care a lichidat dauna; </w:t>
            </w:r>
          </w:p>
          <w:p w:rsidR="00537789" w:rsidRDefault="00537789">
            <w:pPr>
              <w:jc w:val="both"/>
            </w:pPr>
          </w:p>
        </w:tc>
        <w:tc>
          <w:tcPr>
            <w:tcW w:w="3510" w:type="dxa"/>
            <w:tcBorders>
              <w:top w:val="single" w:sz="4" w:space="0" w:color="auto"/>
              <w:left w:val="single" w:sz="4" w:space="0" w:color="auto"/>
              <w:bottom w:val="single" w:sz="4" w:space="0" w:color="auto"/>
              <w:right w:val="single" w:sz="4" w:space="0" w:color="auto"/>
            </w:tcBorders>
          </w:tcPr>
          <w:p w:rsidR="00537789" w:rsidRDefault="00537789">
            <w:pPr>
              <w:jc w:val="both"/>
            </w:pPr>
            <w:r>
              <w:rPr>
                <w:b/>
                <w:sz w:val="22"/>
                <w:szCs w:val="22"/>
              </w:rPr>
              <w:lastRenderedPageBreak/>
              <w:t>Art.58-(2)</w:t>
            </w:r>
            <w:r>
              <w:rPr>
                <w:sz w:val="22"/>
                <w:szCs w:val="22"/>
              </w:rPr>
              <w:t xml:space="preserve"> În cazul în care în drepturile persoanei păgubite s-a subrogat asigurătorul acesteia, asigurătorul RCA efectuează plata despăgubirilor astfel: </w:t>
            </w:r>
          </w:p>
          <w:p w:rsidR="00537789" w:rsidRDefault="00537789">
            <w:pPr>
              <w:jc w:val="both"/>
            </w:pPr>
            <w:r>
              <w:rPr>
                <w:sz w:val="22"/>
                <w:szCs w:val="22"/>
              </w:rPr>
              <w:t xml:space="preserve">a) dacă nu există obiecţii asupra sumelor solicitate, acestea se vor achita în cel mult 15 zile calendaristice de la data avizării scrise, efectuată de asigurătorul subrogat în drepturile persoanei păgubite, însoţită de documentele justificative. Avizarea de plată poate fi făcută la </w:t>
            </w:r>
            <w:r>
              <w:rPr>
                <w:b/>
                <w:sz w:val="22"/>
                <w:szCs w:val="22"/>
              </w:rPr>
              <w:t>sediile</w:t>
            </w:r>
            <w:r>
              <w:rPr>
                <w:sz w:val="22"/>
                <w:szCs w:val="22"/>
              </w:rPr>
              <w:t xml:space="preserve"> asigurătorului RCA </w:t>
            </w:r>
            <w:r>
              <w:rPr>
                <w:b/>
                <w:sz w:val="22"/>
                <w:szCs w:val="22"/>
              </w:rPr>
              <w:t xml:space="preserve">sau ale reprezentantului de despagubiri </w:t>
            </w:r>
            <w:r>
              <w:rPr>
                <w:sz w:val="22"/>
                <w:szCs w:val="22"/>
              </w:rPr>
              <w:t xml:space="preserve">care desfăşoară activităţi de constatare, de lichidare a daunelor </w:t>
            </w:r>
            <w:r>
              <w:rPr>
                <w:sz w:val="22"/>
                <w:szCs w:val="22"/>
              </w:rPr>
              <w:lastRenderedPageBreak/>
              <w:t xml:space="preserve">auto şi de efectuare a plăţilor de despăgubiri. Acţiunea în justiţie împotriva asigurătorului RCA poate fi exercitată, în mod alternativ, la oricare dintre sediile asigurătorului,  </w:t>
            </w:r>
            <w:r>
              <w:rPr>
                <w:b/>
                <w:sz w:val="22"/>
                <w:szCs w:val="22"/>
              </w:rPr>
              <w:t>sau ale reprezentantului   de despagubiri</w:t>
            </w:r>
            <w:r>
              <w:rPr>
                <w:sz w:val="22"/>
                <w:szCs w:val="22"/>
              </w:rPr>
              <w:t xml:space="preserve">; </w:t>
            </w:r>
          </w:p>
          <w:p w:rsidR="00537789" w:rsidRDefault="00537789">
            <w:pPr>
              <w:pStyle w:val="NormalWeb"/>
              <w:spacing w:before="0" w:beforeAutospacing="0" w:after="0" w:afterAutospacing="0"/>
              <w:jc w:val="both"/>
              <w:rPr>
                <w:rFonts w:ascii="Times New Roman" w:eastAsia="Times New Roman" w:hAnsi="Times New Roman" w:cs="Times New Roman"/>
                <w:lang w:val="ro-RO"/>
              </w:rPr>
            </w:pPr>
          </w:p>
        </w:tc>
        <w:tc>
          <w:tcPr>
            <w:tcW w:w="2727" w:type="dxa"/>
            <w:tcBorders>
              <w:top w:val="single" w:sz="4" w:space="0" w:color="auto"/>
              <w:left w:val="single" w:sz="4" w:space="0" w:color="auto"/>
              <w:bottom w:val="single" w:sz="4" w:space="0" w:color="auto"/>
              <w:right w:val="single" w:sz="4" w:space="0" w:color="auto"/>
            </w:tcBorders>
            <w:hideMark/>
          </w:tcPr>
          <w:p w:rsidR="00537789" w:rsidRDefault="00537789">
            <w:pPr>
              <w:autoSpaceDE w:val="0"/>
              <w:autoSpaceDN w:val="0"/>
              <w:adjustRightInd w:val="0"/>
              <w:spacing w:line="276" w:lineRule="auto"/>
            </w:pPr>
            <w:r>
              <w:rPr>
                <w:sz w:val="22"/>
                <w:szCs w:val="22"/>
              </w:rPr>
              <w:lastRenderedPageBreak/>
              <w:t xml:space="preserve">Corelare cu modificările anterioare </w:t>
            </w:r>
          </w:p>
        </w:tc>
      </w:tr>
    </w:tbl>
    <w:p w:rsidR="00537789" w:rsidRDefault="00537789" w:rsidP="00537789">
      <w:pPr>
        <w:rPr>
          <w:szCs w:val="23"/>
        </w:rPr>
      </w:pPr>
    </w:p>
    <w:p w:rsidR="00740874" w:rsidRDefault="00740874"/>
    <w:sectPr w:rsidR="00740874" w:rsidSect="007824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905"/>
    <w:rsid w:val="001510C8"/>
    <w:rsid w:val="004F2905"/>
    <w:rsid w:val="00537789"/>
    <w:rsid w:val="00626E0D"/>
    <w:rsid w:val="00740874"/>
    <w:rsid w:val="00782433"/>
    <w:rsid w:val="00812F37"/>
    <w:rsid w:val="00E74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89"/>
    <w:pPr>
      <w:spacing w:after="0" w:line="240" w:lineRule="auto"/>
    </w:pPr>
    <w:rPr>
      <w:rFonts w:ascii="Times New Roman" w:eastAsia="Times New Roman" w:hAnsi="Times New Roman" w:cs="Times New Roman"/>
      <w:sz w:val="24"/>
      <w:szCs w:val="24"/>
      <w:lang w:val="ro-RO"/>
    </w:rPr>
  </w:style>
  <w:style w:type="paragraph" w:styleId="Heading7">
    <w:name w:val="heading 7"/>
    <w:basedOn w:val="Normal"/>
    <w:next w:val="Normal"/>
    <w:link w:val="Heading7Char"/>
    <w:uiPriority w:val="99"/>
    <w:semiHidden/>
    <w:unhideWhenUsed/>
    <w:qFormat/>
    <w:rsid w:val="0053778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tlu1">
    <w:name w:val="l5tlu1"/>
    <w:basedOn w:val="DefaultParagraphFont"/>
    <w:rsid w:val="00626E0D"/>
    <w:rPr>
      <w:b/>
      <w:bCs/>
      <w:color w:val="000000"/>
      <w:sz w:val="32"/>
      <w:szCs w:val="32"/>
    </w:rPr>
  </w:style>
  <w:style w:type="character" w:styleId="Hyperlink">
    <w:name w:val="Hyperlink"/>
    <w:basedOn w:val="DefaultParagraphFont"/>
    <w:uiPriority w:val="99"/>
    <w:semiHidden/>
    <w:unhideWhenUsed/>
    <w:rsid w:val="00812F37"/>
    <w:rPr>
      <w:color w:val="0000FF"/>
      <w:u w:val="single"/>
    </w:rPr>
  </w:style>
  <w:style w:type="character" w:customStyle="1" w:styleId="Heading7Char">
    <w:name w:val="Heading 7 Char"/>
    <w:basedOn w:val="DefaultParagraphFont"/>
    <w:link w:val="Heading7"/>
    <w:uiPriority w:val="99"/>
    <w:semiHidden/>
    <w:rsid w:val="00537789"/>
    <w:rPr>
      <w:rFonts w:ascii="Times New Roman" w:eastAsia="Times New Roman" w:hAnsi="Times New Roman" w:cs="Times New Roman"/>
      <w:sz w:val="24"/>
      <w:szCs w:val="24"/>
      <w:lang w:val="ro-RO"/>
    </w:rPr>
  </w:style>
  <w:style w:type="paragraph" w:styleId="NormalWeb">
    <w:name w:val="Normal (Web)"/>
    <w:basedOn w:val="Normal"/>
    <w:uiPriority w:val="99"/>
    <w:unhideWhenUsed/>
    <w:rsid w:val="00537789"/>
    <w:pPr>
      <w:spacing w:before="100" w:beforeAutospacing="1" w:after="100" w:afterAutospacing="1"/>
    </w:pPr>
    <w:rPr>
      <w:rFonts w:ascii="Calibri" w:eastAsia="Calibri" w:hAnsi="Calibri" w:cs="Calibri"/>
      <w:lang w:val="en-US"/>
    </w:rPr>
  </w:style>
  <w:style w:type="paragraph" w:customStyle="1" w:styleId="Default">
    <w:name w:val="Default"/>
    <w:uiPriority w:val="99"/>
    <w:rsid w:val="00537789"/>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89"/>
    <w:pPr>
      <w:spacing w:after="0" w:line="240" w:lineRule="auto"/>
    </w:pPr>
    <w:rPr>
      <w:rFonts w:ascii="Times New Roman" w:eastAsia="Times New Roman" w:hAnsi="Times New Roman" w:cs="Times New Roman"/>
      <w:sz w:val="24"/>
      <w:szCs w:val="24"/>
      <w:lang w:val="ro-RO"/>
    </w:rPr>
  </w:style>
  <w:style w:type="paragraph" w:styleId="Heading7">
    <w:name w:val="heading 7"/>
    <w:basedOn w:val="Normal"/>
    <w:next w:val="Normal"/>
    <w:link w:val="Heading7Char"/>
    <w:uiPriority w:val="99"/>
    <w:semiHidden/>
    <w:unhideWhenUsed/>
    <w:qFormat/>
    <w:rsid w:val="0053778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tlu1">
    <w:name w:val="l5tlu1"/>
    <w:basedOn w:val="DefaultParagraphFont"/>
    <w:rsid w:val="00626E0D"/>
    <w:rPr>
      <w:b/>
      <w:bCs/>
      <w:color w:val="000000"/>
      <w:sz w:val="32"/>
      <w:szCs w:val="32"/>
    </w:rPr>
  </w:style>
  <w:style w:type="character" w:styleId="Hyperlink">
    <w:name w:val="Hyperlink"/>
    <w:basedOn w:val="DefaultParagraphFont"/>
    <w:uiPriority w:val="99"/>
    <w:semiHidden/>
    <w:unhideWhenUsed/>
    <w:rsid w:val="00812F37"/>
    <w:rPr>
      <w:color w:val="0000FF"/>
      <w:u w:val="single"/>
    </w:rPr>
  </w:style>
  <w:style w:type="character" w:customStyle="1" w:styleId="Heading7Char">
    <w:name w:val="Heading 7 Char"/>
    <w:basedOn w:val="DefaultParagraphFont"/>
    <w:link w:val="Heading7"/>
    <w:uiPriority w:val="99"/>
    <w:semiHidden/>
    <w:rsid w:val="00537789"/>
    <w:rPr>
      <w:rFonts w:ascii="Times New Roman" w:eastAsia="Times New Roman" w:hAnsi="Times New Roman" w:cs="Times New Roman"/>
      <w:sz w:val="24"/>
      <w:szCs w:val="24"/>
      <w:lang w:val="ro-RO"/>
    </w:rPr>
  </w:style>
  <w:style w:type="paragraph" w:styleId="NormalWeb">
    <w:name w:val="Normal (Web)"/>
    <w:basedOn w:val="Normal"/>
    <w:uiPriority w:val="99"/>
    <w:unhideWhenUsed/>
    <w:rsid w:val="00537789"/>
    <w:pPr>
      <w:spacing w:before="100" w:beforeAutospacing="1" w:after="100" w:afterAutospacing="1"/>
    </w:pPr>
    <w:rPr>
      <w:rFonts w:ascii="Calibri" w:eastAsia="Calibri" w:hAnsi="Calibri" w:cs="Calibri"/>
      <w:lang w:val="en-US"/>
    </w:rPr>
  </w:style>
  <w:style w:type="paragraph" w:customStyle="1" w:styleId="Default">
    <w:name w:val="Default"/>
    <w:uiPriority w:val="99"/>
    <w:rsid w:val="0053778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1456364">
      <w:bodyDiv w:val="1"/>
      <w:marLeft w:val="0"/>
      <w:marRight w:val="0"/>
      <w:marTop w:val="0"/>
      <w:marBottom w:val="0"/>
      <w:divBdr>
        <w:top w:val="none" w:sz="0" w:space="0" w:color="auto"/>
        <w:left w:val="none" w:sz="0" w:space="0" w:color="auto"/>
        <w:bottom w:val="none" w:sz="0" w:space="0" w:color="auto"/>
        <w:right w:val="none" w:sz="0" w:space="0" w:color="auto"/>
      </w:divBdr>
    </w:div>
    <w:div w:id="1385718083">
      <w:bodyDiv w:val="1"/>
      <w:marLeft w:val="0"/>
      <w:marRight w:val="0"/>
      <w:marTop w:val="0"/>
      <w:marBottom w:val="0"/>
      <w:divBdr>
        <w:top w:val="none" w:sz="0" w:space="0" w:color="auto"/>
        <w:left w:val="none" w:sz="0" w:space="0" w:color="auto"/>
        <w:bottom w:val="none" w:sz="0" w:space="0" w:color="auto"/>
        <w:right w:val="none" w:sz="0" w:space="0" w:color="auto"/>
      </w:divBdr>
      <w:divsChild>
        <w:div w:id="1003897019">
          <w:marLeft w:val="0"/>
          <w:marRight w:val="0"/>
          <w:marTop w:val="0"/>
          <w:marBottom w:val="0"/>
          <w:divBdr>
            <w:top w:val="none" w:sz="0" w:space="0" w:color="auto"/>
            <w:left w:val="none" w:sz="0" w:space="0" w:color="auto"/>
            <w:bottom w:val="none" w:sz="0" w:space="0" w:color="auto"/>
            <w:right w:val="none" w:sz="0" w:space="0" w:color="auto"/>
          </w:divBdr>
          <w:divsChild>
            <w:div w:id="16276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407542%206878365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ct:407542%206878365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407542%2068783654" TargetMode="External"/><Relationship Id="rId11" Type="http://schemas.openxmlformats.org/officeDocument/2006/relationships/hyperlink" Target="act:407542%2068783751" TargetMode="External"/><Relationship Id="rId5" Type="http://schemas.openxmlformats.org/officeDocument/2006/relationships/hyperlink" Target="act:8243%200" TargetMode="External"/><Relationship Id="rId10" Type="http://schemas.openxmlformats.org/officeDocument/2006/relationships/hyperlink" Target="act:407542%2068783755" TargetMode="External"/><Relationship Id="rId4" Type="http://schemas.openxmlformats.org/officeDocument/2006/relationships/hyperlink" Target="act:8243%2037231114" TargetMode="External"/><Relationship Id="rId9" Type="http://schemas.openxmlformats.org/officeDocument/2006/relationships/hyperlink" Target="act:407542%2068783658"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Ivaschescu</dc:creator>
  <cp:keywords/>
  <dc:description/>
  <cp:lastModifiedBy>mbutoianu</cp:lastModifiedBy>
  <cp:revision>5</cp:revision>
  <dcterms:created xsi:type="dcterms:W3CDTF">2015-04-20T09:21:00Z</dcterms:created>
  <dcterms:modified xsi:type="dcterms:W3CDTF">2016-01-22T13:27:00Z</dcterms:modified>
</cp:coreProperties>
</file>