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E8" w:rsidRDefault="002B2212" w:rsidP="00AA2E85">
      <w:pPr>
        <w:pStyle w:val="Header"/>
        <w:jc w:val="right"/>
        <w:rPr>
          <w:b/>
        </w:rPr>
      </w:pPr>
      <w:r w:rsidRPr="002B2212">
        <w:rPr>
          <w:b/>
        </w:rPr>
        <w:t xml:space="preserve">Proiect </w:t>
      </w:r>
    </w:p>
    <w:p w:rsidR="002B2212" w:rsidRDefault="002B2212" w:rsidP="00AA2E85">
      <w:pPr>
        <w:pStyle w:val="Header"/>
        <w:jc w:val="right"/>
        <w:rPr>
          <w:b/>
        </w:rPr>
      </w:pPr>
    </w:p>
    <w:p w:rsidR="002B2212" w:rsidRPr="002B2212" w:rsidRDefault="002B2212" w:rsidP="00AA2E85">
      <w:pPr>
        <w:pStyle w:val="Header"/>
        <w:jc w:val="right"/>
        <w:rPr>
          <w:b/>
        </w:rPr>
      </w:pPr>
    </w:p>
    <w:p w:rsidR="00440570" w:rsidRDefault="00D24A80" w:rsidP="00AA2E85">
      <w:pPr>
        <w:tabs>
          <w:tab w:val="left" w:pos="1890"/>
          <w:tab w:val="left" w:pos="2160"/>
          <w:tab w:val="left" w:pos="2610"/>
          <w:tab w:val="left" w:pos="4050"/>
          <w:tab w:val="left" w:pos="4590"/>
        </w:tabs>
        <w:spacing w:line="360" w:lineRule="auto"/>
        <w:jc w:val="center"/>
        <w:rPr>
          <w:b/>
          <w:bCs/>
        </w:rPr>
      </w:pPr>
      <w:r w:rsidRPr="00821154">
        <w:rPr>
          <w:b/>
          <w:bCs/>
        </w:rPr>
        <w:t>Normǎ</w:t>
      </w:r>
    </w:p>
    <w:p w:rsidR="00ED5B4B" w:rsidRPr="00440570" w:rsidRDefault="00265BB0" w:rsidP="00AA2E85">
      <w:pPr>
        <w:spacing w:line="360" w:lineRule="auto"/>
        <w:jc w:val="center"/>
        <w:rPr>
          <w:b/>
        </w:rPr>
      </w:pPr>
      <w:r w:rsidRPr="00440570">
        <w:rPr>
          <w:b/>
        </w:rPr>
        <w:t>pentru aplicarea</w:t>
      </w:r>
      <w:r w:rsidR="002B2212">
        <w:rPr>
          <w:b/>
        </w:rPr>
        <w:t xml:space="preserve"> Standardelor </w:t>
      </w:r>
      <w:r w:rsidR="00ED5B4B" w:rsidRPr="00440570">
        <w:rPr>
          <w:b/>
        </w:rPr>
        <w:t>Internaţionale de Raportare Financiară</w:t>
      </w:r>
    </w:p>
    <w:p w:rsidR="00440570" w:rsidRDefault="008A7641" w:rsidP="00AA2E85">
      <w:pPr>
        <w:tabs>
          <w:tab w:val="left" w:pos="567"/>
          <w:tab w:val="left" w:pos="2160"/>
          <w:tab w:val="left" w:pos="2610"/>
          <w:tab w:val="left" w:pos="4050"/>
          <w:tab w:val="left" w:pos="4590"/>
        </w:tabs>
        <w:spacing w:line="360" w:lineRule="auto"/>
        <w:contextualSpacing/>
        <w:jc w:val="center"/>
      </w:pPr>
      <w:r>
        <w:rPr>
          <w:b/>
        </w:rPr>
        <w:t>de către</w:t>
      </w:r>
      <w:r w:rsidR="002B2212" w:rsidRPr="00440570">
        <w:rPr>
          <w:b/>
        </w:rPr>
        <w:t xml:space="preserve"> societățile de asigurare, de asigurare-reasigurare și de reasigurare</w:t>
      </w:r>
    </w:p>
    <w:p w:rsidR="00C31701" w:rsidRDefault="00C31701" w:rsidP="00AA2E85">
      <w:pPr>
        <w:tabs>
          <w:tab w:val="left" w:pos="567"/>
          <w:tab w:val="left" w:pos="2160"/>
          <w:tab w:val="left" w:pos="2610"/>
          <w:tab w:val="left" w:pos="4050"/>
          <w:tab w:val="left" w:pos="4590"/>
        </w:tabs>
        <w:spacing w:line="360" w:lineRule="auto"/>
        <w:contextualSpacing/>
        <w:jc w:val="both"/>
      </w:pPr>
      <w:r>
        <w:t xml:space="preserve">     </w:t>
      </w:r>
    </w:p>
    <w:p w:rsidR="00606633" w:rsidRDefault="00C31701" w:rsidP="00AA2E85">
      <w:pPr>
        <w:tabs>
          <w:tab w:val="left" w:pos="567"/>
          <w:tab w:val="left" w:pos="2160"/>
          <w:tab w:val="left" w:pos="2610"/>
          <w:tab w:val="left" w:pos="4050"/>
          <w:tab w:val="left" w:pos="4590"/>
        </w:tabs>
        <w:spacing w:line="360" w:lineRule="auto"/>
        <w:contextualSpacing/>
        <w:jc w:val="both"/>
        <w:rPr>
          <w:rStyle w:val="preambul1"/>
          <w:i w:val="0"/>
          <w:color w:val="auto"/>
        </w:rPr>
      </w:pPr>
      <w:r>
        <w:t xml:space="preserve">               </w:t>
      </w:r>
      <w:r w:rsidR="00D24A80" w:rsidRPr="008B24C2">
        <w:rPr>
          <w:rStyle w:val="preambul1"/>
          <w:i w:val="0"/>
        </w:rPr>
        <w:t>În temeiul prevederilor art. 2 alin. (</w:t>
      </w:r>
      <w:r w:rsidR="00D24A80" w:rsidRPr="00D47872">
        <w:rPr>
          <w:rStyle w:val="preambul1"/>
          <w:i w:val="0"/>
        </w:rPr>
        <w:t>1</w:t>
      </w:r>
      <w:r w:rsidR="00D24A80" w:rsidRPr="00D47872">
        <w:rPr>
          <w:rStyle w:val="preambul1"/>
          <w:i w:val="0"/>
          <w:color w:val="auto"/>
        </w:rPr>
        <w:t xml:space="preserve">) </w:t>
      </w:r>
      <w:r w:rsidR="00D24A80" w:rsidRPr="00AC5B4C">
        <w:rPr>
          <w:bCs/>
          <w:iCs/>
        </w:rPr>
        <w:t>lit. b)</w:t>
      </w:r>
      <w:r w:rsidR="00D24A80" w:rsidRPr="00D47872">
        <w:rPr>
          <w:rStyle w:val="preambul1"/>
          <w:i w:val="0"/>
          <w:color w:val="auto"/>
        </w:rPr>
        <w:t xml:space="preserve">, art. 3 </w:t>
      </w:r>
      <w:r w:rsidR="00D24A80" w:rsidRPr="00AC5B4C">
        <w:rPr>
          <w:bCs/>
          <w:iCs/>
        </w:rPr>
        <w:t>lit. b)</w:t>
      </w:r>
      <w:r w:rsidR="00D24A80" w:rsidRPr="00D47872">
        <w:rPr>
          <w:rStyle w:val="preambul1"/>
          <w:i w:val="0"/>
          <w:color w:val="auto"/>
        </w:rPr>
        <w:t xml:space="preserve"> şi art.6 </w:t>
      </w:r>
      <w:r w:rsidR="00D24A80" w:rsidRPr="00AC5B4C">
        <w:rPr>
          <w:bCs/>
          <w:iCs/>
        </w:rPr>
        <w:t>alin. (2)</w:t>
      </w:r>
      <w:r w:rsidR="00D24A80" w:rsidRPr="00D47872">
        <w:rPr>
          <w:rStyle w:val="preambul1"/>
          <w:i w:val="0"/>
          <w:color w:val="auto"/>
        </w:rPr>
        <w:t xml:space="preserve"> din Ordonanţa de urgenţă a Guvernului nr. 93/2012 privind înfiinţarea, organizarea şi funcţionarea Autorităţii de Supraveghere Financiară, aprobată cu modificări şi completări prin Legea </w:t>
      </w:r>
      <w:r w:rsidR="00D24A80" w:rsidRPr="00AC5B4C">
        <w:rPr>
          <w:bCs/>
          <w:iCs/>
        </w:rPr>
        <w:t>nr. 113/2013</w:t>
      </w:r>
      <w:r w:rsidR="00D24A80" w:rsidRPr="00D47872">
        <w:rPr>
          <w:rStyle w:val="preambul1"/>
          <w:i w:val="0"/>
          <w:color w:val="auto"/>
        </w:rPr>
        <w:t>, cu modificările şi completările ulterioare</w:t>
      </w:r>
      <w:r w:rsidR="00606633">
        <w:rPr>
          <w:rStyle w:val="preambul1"/>
          <w:i w:val="0"/>
          <w:color w:val="auto"/>
        </w:rPr>
        <w:t>,</w:t>
      </w:r>
    </w:p>
    <w:p w:rsidR="00440570" w:rsidRPr="00440570" w:rsidRDefault="00440570" w:rsidP="00AA2E85">
      <w:pPr>
        <w:spacing w:line="360" w:lineRule="auto"/>
        <w:jc w:val="both"/>
      </w:pPr>
      <w:r w:rsidRPr="00440570">
        <w:t xml:space="preserve">             </w:t>
      </w:r>
      <w:r w:rsidR="00445173">
        <w:t>î</w:t>
      </w:r>
      <w:r w:rsidRPr="00440570">
        <w:t xml:space="preserve">n temeiul prevederilor art. 4 alin. (26) şi (27) şi ale art. 5 lit. a) din Legea nr. 32/2000 privind activitatea de asigurare şi supravegherea asigurărilor, cu modificările şi completările ulterioare, </w:t>
      </w:r>
    </w:p>
    <w:p w:rsidR="00440570" w:rsidRPr="00440570" w:rsidRDefault="00AA2E85" w:rsidP="00AA2E85">
      <w:pPr>
        <w:spacing w:line="360" w:lineRule="auto"/>
        <w:ind w:firstLine="720"/>
        <w:jc w:val="both"/>
      </w:pPr>
      <w:r>
        <w:t xml:space="preserve"> </w:t>
      </w:r>
      <w:r w:rsidR="00440570" w:rsidRPr="00440570">
        <w:t xml:space="preserve">în temeiul prevederilor art. 4 alin. (3) din Legea contabilitǎţii nr.82/1991, republicatǎ, cu modificǎrile şi completǎrile ulterioare, </w:t>
      </w:r>
    </w:p>
    <w:p w:rsidR="00010AFC" w:rsidRDefault="00C31701" w:rsidP="00AA2E85">
      <w:pPr>
        <w:spacing w:line="360" w:lineRule="auto"/>
        <w:ind w:firstLine="720"/>
        <w:jc w:val="both"/>
        <w:rPr>
          <w:color w:val="000000"/>
        </w:rPr>
      </w:pPr>
      <w:r>
        <w:rPr>
          <w:color w:val="000000"/>
        </w:rPr>
        <w:t xml:space="preserve">  </w:t>
      </w:r>
      <w:r w:rsidR="006C3AA8" w:rsidRPr="00440570">
        <w:t xml:space="preserve">avȃnd în vedere prevederile Regulamentului (CE) nr. 1606/2002 al Parlamentului European şi al Consiliului din 19 iulie 2002 privind aplicarea </w:t>
      </w:r>
      <w:r w:rsidR="006C3AA8">
        <w:t>S</w:t>
      </w:r>
      <w:r w:rsidR="006C3AA8" w:rsidRPr="00440570">
        <w:t xml:space="preserve">tandardelor </w:t>
      </w:r>
      <w:r w:rsidR="006C3AA8">
        <w:t>I</w:t>
      </w:r>
      <w:r w:rsidR="006C3AA8" w:rsidRPr="00440570">
        <w:t xml:space="preserve">nternaţionale de </w:t>
      </w:r>
      <w:r w:rsidR="006C3AA8">
        <w:t>C</w:t>
      </w:r>
      <w:r w:rsidR="006C3AA8" w:rsidRPr="00440570">
        <w:t>ontabilitate</w:t>
      </w:r>
      <w:r w:rsidR="006C3AA8">
        <w:rPr>
          <w:color w:val="000000"/>
        </w:rPr>
        <w:t xml:space="preserve">, precum şi </w:t>
      </w:r>
      <w:r w:rsidR="00440570" w:rsidRPr="00440570">
        <w:rPr>
          <w:color w:val="000000"/>
        </w:rPr>
        <w:t>neces</w:t>
      </w:r>
      <w:r w:rsidR="00445173">
        <w:rPr>
          <w:color w:val="000000"/>
        </w:rPr>
        <w:t>itatea alinierii la practica naț</w:t>
      </w:r>
      <w:r w:rsidR="00440570" w:rsidRPr="00440570">
        <w:rPr>
          <w:color w:val="000000"/>
        </w:rPr>
        <w:t xml:space="preserve">ională și internaţională pentru promovarea transparenţei şi comparabilităţii situaţiilor financiare, </w:t>
      </w:r>
    </w:p>
    <w:p w:rsidR="00AA2E85" w:rsidRDefault="00440570" w:rsidP="00AA2E85">
      <w:pPr>
        <w:pStyle w:val="Default"/>
        <w:spacing w:line="360" w:lineRule="auto"/>
        <w:rPr>
          <w:rFonts w:ascii="Times New Roman" w:hAnsi="Times New Roman" w:cs="Times New Roman"/>
          <w:color w:val="auto"/>
        </w:rPr>
      </w:pPr>
      <w:r w:rsidRPr="00455A83">
        <w:rPr>
          <w:color w:val="auto"/>
          <w:sz w:val="18"/>
          <w:szCs w:val="18"/>
        </w:rPr>
        <w:t xml:space="preserve">         </w:t>
      </w:r>
      <w:r w:rsidR="00606633" w:rsidRPr="00455A83">
        <w:rPr>
          <w:color w:val="auto"/>
        </w:rPr>
        <w:t xml:space="preserve">     </w:t>
      </w:r>
      <w:r w:rsidR="00AA2E85">
        <w:rPr>
          <w:color w:val="auto"/>
        </w:rPr>
        <w:tab/>
      </w:r>
      <w:r w:rsidR="00606633" w:rsidRPr="00455A83">
        <w:rPr>
          <w:color w:val="auto"/>
        </w:rPr>
        <w:t xml:space="preserve">În urma </w:t>
      </w:r>
      <w:r w:rsidR="00606633" w:rsidRPr="00455A83">
        <w:rPr>
          <w:rFonts w:ascii="Times New Roman" w:hAnsi="Times New Roman" w:cs="Times New Roman"/>
          <w:color w:val="auto"/>
        </w:rPr>
        <w:t>deliberărilor din</w:t>
      </w:r>
      <w:r w:rsidR="00BD5318">
        <w:rPr>
          <w:rFonts w:ascii="Times New Roman" w:hAnsi="Times New Roman" w:cs="Times New Roman"/>
          <w:color w:val="auto"/>
        </w:rPr>
        <w:t xml:space="preserve"> ședința din</w:t>
      </w:r>
      <w:r w:rsidR="00606633" w:rsidRPr="00455A83">
        <w:rPr>
          <w:rFonts w:ascii="Times New Roman" w:hAnsi="Times New Roman" w:cs="Times New Roman"/>
          <w:color w:val="auto"/>
        </w:rPr>
        <w:t xml:space="preserve"> data</w:t>
      </w:r>
      <w:r w:rsidR="00AD4550" w:rsidRPr="00455A83">
        <w:rPr>
          <w:rFonts w:ascii="Times New Roman" w:hAnsi="Times New Roman" w:cs="Times New Roman"/>
          <w:color w:val="auto"/>
        </w:rPr>
        <w:t xml:space="preserve"> </w:t>
      </w:r>
      <w:r w:rsidR="00606633" w:rsidRPr="00455A83">
        <w:rPr>
          <w:rFonts w:ascii="Times New Roman" w:hAnsi="Times New Roman" w:cs="Times New Roman"/>
          <w:color w:val="auto"/>
        </w:rPr>
        <w:t xml:space="preserve">de </w:t>
      </w:r>
      <w:r w:rsidR="00ED07A9">
        <w:rPr>
          <w:rFonts w:ascii="Times New Roman" w:hAnsi="Times New Roman" w:cs="Times New Roman"/>
          <w:color w:val="auto"/>
        </w:rPr>
        <w:t xml:space="preserve"> 8 octombrie  </w:t>
      </w:r>
      <w:r w:rsidR="00445173">
        <w:rPr>
          <w:rFonts w:ascii="Times New Roman" w:hAnsi="Times New Roman" w:cs="Times New Roman"/>
          <w:color w:val="auto"/>
        </w:rPr>
        <w:t>2014</w:t>
      </w:r>
      <w:r w:rsidR="00AD4550" w:rsidRPr="00455A83">
        <w:rPr>
          <w:rFonts w:ascii="Times New Roman" w:hAnsi="Times New Roman" w:cs="Times New Roman"/>
          <w:color w:val="auto"/>
        </w:rPr>
        <w:t xml:space="preserve">            </w:t>
      </w:r>
    </w:p>
    <w:p w:rsidR="00AA2E85" w:rsidRDefault="00AA2E85" w:rsidP="00AA2E85">
      <w:pPr>
        <w:pStyle w:val="Default"/>
        <w:spacing w:line="360" w:lineRule="auto"/>
        <w:rPr>
          <w:rFonts w:ascii="Times New Roman" w:hAnsi="Times New Roman" w:cs="Times New Roman"/>
          <w:color w:val="auto"/>
        </w:rPr>
      </w:pPr>
      <w:r>
        <w:rPr>
          <w:rFonts w:ascii="Times New Roman" w:hAnsi="Times New Roman" w:cs="Times New Roman"/>
          <w:color w:val="auto"/>
        </w:rPr>
        <w:tab/>
      </w:r>
    </w:p>
    <w:p w:rsidR="005753A6" w:rsidRPr="00AA2E85" w:rsidRDefault="00AA2E85" w:rsidP="00AA2E85">
      <w:pPr>
        <w:pStyle w:val="Default"/>
        <w:spacing w:line="360" w:lineRule="auto"/>
        <w:rPr>
          <w:rFonts w:ascii="Times New Roman" w:hAnsi="Times New Roman" w:cs="Times New Roman"/>
          <w:color w:val="auto"/>
        </w:rPr>
      </w:pPr>
      <w:r>
        <w:rPr>
          <w:rFonts w:ascii="Times New Roman" w:hAnsi="Times New Roman" w:cs="Times New Roman"/>
          <w:color w:val="auto"/>
        </w:rPr>
        <w:tab/>
      </w:r>
      <w:r w:rsidR="0054110C" w:rsidRPr="004B00DF">
        <w:rPr>
          <w:rStyle w:val="Strong"/>
        </w:rPr>
        <w:t xml:space="preserve">Consiliul Autorității de Supraveghere Financiară </w:t>
      </w:r>
      <w:r w:rsidR="0054110C" w:rsidRPr="00ED07A9">
        <w:rPr>
          <w:rStyle w:val="Strong"/>
          <w:b w:val="0"/>
        </w:rPr>
        <w:t>emite</w:t>
      </w:r>
      <w:r w:rsidR="0054110C" w:rsidRPr="004B00DF">
        <w:rPr>
          <w:rStyle w:val="Strong"/>
        </w:rPr>
        <w:t xml:space="preserve"> </w:t>
      </w:r>
      <w:r w:rsidR="0054110C" w:rsidRPr="004B00DF">
        <w:t>următoarea normă</w:t>
      </w:r>
      <w:r w:rsidR="0054110C" w:rsidRPr="004B00DF">
        <w:rPr>
          <w:b/>
        </w:rPr>
        <w:t xml:space="preserve">: </w:t>
      </w:r>
    </w:p>
    <w:p w:rsidR="00ED5B4B" w:rsidRPr="00455A83" w:rsidRDefault="00440570" w:rsidP="00AA2E85">
      <w:pPr>
        <w:tabs>
          <w:tab w:val="left" w:pos="1890"/>
          <w:tab w:val="left" w:pos="2160"/>
          <w:tab w:val="left" w:pos="2610"/>
          <w:tab w:val="left" w:pos="4050"/>
          <w:tab w:val="left" w:pos="4590"/>
        </w:tabs>
        <w:spacing w:line="360" w:lineRule="auto"/>
        <w:ind w:hanging="54"/>
        <w:jc w:val="both"/>
      </w:pPr>
      <w:r w:rsidRPr="00455A83">
        <w:t xml:space="preserve"> </w:t>
      </w:r>
      <w:r w:rsidR="000A394F" w:rsidRPr="00455A83">
        <w:t xml:space="preserve"> </w:t>
      </w:r>
    </w:p>
    <w:p w:rsidR="00445173" w:rsidRDefault="00ED5B4B" w:rsidP="00AA2E85">
      <w:pPr>
        <w:tabs>
          <w:tab w:val="left" w:pos="1890"/>
          <w:tab w:val="left" w:pos="2160"/>
          <w:tab w:val="left" w:pos="2610"/>
          <w:tab w:val="left" w:pos="4050"/>
          <w:tab w:val="left" w:pos="4590"/>
        </w:tabs>
        <w:spacing w:line="360" w:lineRule="auto"/>
        <w:ind w:hanging="54"/>
        <w:jc w:val="both"/>
        <w:rPr>
          <w:color w:val="000000"/>
        </w:rPr>
      </w:pPr>
      <w:r>
        <w:rPr>
          <w:color w:val="000000"/>
        </w:rPr>
        <w:t xml:space="preserve">    </w:t>
      </w:r>
      <w:r w:rsidR="000A394F">
        <w:rPr>
          <w:color w:val="000000"/>
        </w:rPr>
        <w:t xml:space="preserve"> </w:t>
      </w:r>
      <w:r w:rsidR="00CD2FCE">
        <w:rPr>
          <w:color w:val="000000"/>
        </w:rPr>
        <w:t xml:space="preserve">    </w:t>
      </w:r>
    </w:p>
    <w:p w:rsidR="00567EE2" w:rsidRPr="00677467" w:rsidRDefault="00AA2E85" w:rsidP="00375AC1">
      <w:pPr>
        <w:tabs>
          <w:tab w:val="left" w:pos="1890"/>
          <w:tab w:val="left" w:pos="2160"/>
          <w:tab w:val="left" w:pos="2610"/>
          <w:tab w:val="left" w:pos="4050"/>
          <w:tab w:val="left" w:pos="4590"/>
        </w:tabs>
        <w:spacing w:line="360" w:lineRule="auto"/>
        <w:jc w:val="both"/>
      </w:pPr>
      <w:r>
        <w:rPr>
          <w:b/>
          <w:color w:val="000000"/>
        </w:rPr>
        <w:t xml:space="preserve">          </w:t>
      </w:r>
      <w:r w:rsidR="00D24A80" w:rsidRPr="00677467">
        <w:rPr>
          <w:b/>
          <w:color w:val="000000"/>
        </w:rPr>
        <w:t xml:space="preserve">Art. </w:t>
      </w:r>
      <w:r w:rsidR="00440570" w:rsidRPr="00677467">
        <w:rPr>
          <w:b/>
          <w:color w:val="000000"/>
        </w:rPr>
        <w:t>1</w:t>
      </w:r>
      <w:r w:rsidR="00D24A80" w:rsidRPr="00677467">
        <w:rPr>
          <w:color w:val="000000"/>
        </w:rPr>
        <w:t xml:space="preserve">. – </w:t>
      </w:r>
      <w:r w:rsidR="007F4B45" w:rsidRPr="00677467">
        <w:rPr>
          <w:color w:val="000000"/>
        </w:rPr>
        <w:t xml:space="preserve"> </w:t>
      </w:r>
      <w:r w:rsidR="00440570" w:rsidRPr="00677467">
        <w:rPr>
          <w:color w:val="000000"/>
        </w:rPr>
        <w:t xml:space="preserve"> </w:t>
      </w:r>
      <w:r w:rsidR="0046325A" w:rsidRPr="00677467">
        <w:rPr>
          <w:color w:val="000000"/>
        </w:rPr>
        <w:t>Î</w:t>
      </w:r>
      <w:r w:rsidR="00936C95" w:rsidRPr="00677467">
        <w:rPr>
          <w:color w:val="000000"/>
        </w:rPr>
        <w:t xml:space="preserve">ncepând </w:t>
      </w:r>
      <w:r w:rsidR="00567EE2" w:rsidRPr="00677467">
        <w:rPr>
          <w:color w:val="000000"/>
        </w:rPr>
        <w:t xml:space="preserve">cu </w:t>
      </w:r>
      <w:r w:rsidR="00375AC1" w:rsidRPr="00677467">
        <w:rPr>
          <w:color w:val="000000"/>
        </w:rPr>
        <w:t xml:space="preserve">1 ianuarie </w:t>
      </w:r>
      <w:r w:rsidR="00936C95" w:rsidRPr="00677467">
        <w:rPr>
          <w:color w:val="000000"/>
        </w:rPr>
        <w:t xml:space="preserve"> 2015</w:t>
      </w:r>
      <w:r w:rsidR="00A325BD" w:rsidRPr="00677467">
        <w:rPr>
          <w:color w:val="000000"/>
        </w:rPr>
        <w:t xml:space="preserve">, </w:t>
      </w:r>
      <w:r w:rsidR="00A670EB" w:rsidRPr="00677467">
        <w:rPr>
          <w:color w:val="000000"/>
        </w:rPr>
        <w:t xml:space="preserve"> </w:t>
      </w:r>
      <w:r w:rsidR="00375AC1" w:rsidRPr="00677467">
        <w:t xml:space="preserve">societăţile </w:t>
      </w:r>
      <w:r w:rsidR="00567EE2" w:rsidRPr="00677467">
        <w:t xml:space="preserve">de asigurare, de asigurare -reasigurare și de reasigurare  </w:t>
      </w:r>
      <w:r w:rsidR="00375AC1" w:rsidRPr="00677467">
        <w:t>care desfăşoară o activitate pe teritoriul României,</w:t>
      </w:r>
      <w:r w:rsidR="00567EE2" w:rsidRPr="00677467">
        <w:t xml:space="preserve"> </w:t>
      </w:r>
      <w:r w:rsidR="00375AC1" w:rsidRPr="00677467">
        <w:t xml:space="preserve"> în baza unei autorizaţii sau în baza dreptului de stabilire conform prevederilor art.11 alin.(1)  lit.b) din Legea nr.32/2000 privind activitatea de asigurare și supravegherea asigurărilor, cu modificările și completările ulterioare vor organiza și </w:t>
      </w:r>
    </w:p>
    <w:p w:rsidR="00567EE2" w:rsidRPr="00677467" w:rsidRDefault="00567EE2" w:rsidP="00375AC1">
      <w:pPr>
        <w:tabs>
          <w:tab w:val="left" w:pos="1890"/>
          <w:tab w:val="left" w:pos="2160"/>
          <w:tab w:val="left" w:pos="2610"/>
          <w:tab w:val="left" w:pos="4050"/>
          <w:tab w:val="left" w:pos="4590"/>
        </w:tabs>
        <w:spacing w:line="360" w:lineRule="auto"/>
        <w:jc w:val="both"/>
      </w:pPr>
    </w:p>
    <w:p w:rsidR="00F3202E" w:rsidRDefault="00F3202E" w:rsidP="00375AC1">
      <w:pPr>
        <w:tabs>
          <w:tab w:val="left" w:pos="1890"/>
          <w:tab w:val="left" w:pos="2160"/>
          <w:tab w:val="left" w:pos="2610"/>
          <w:tab w:val="left" w:pos="4050"/>
          <w:tab w:val="left" w:pos="4590"/>
        </w:tabs>
        <w:spacing w:line="360" w:lineRule="auto"/>
        <w:jc w:val="both"/>
      </w:pPr>
    </w:p>
    <w:p w:rsidR="00F3202E" w:rsidRDefault="00F3202E" w:rsidP="00375AC1">
      <w:pPr>
        <w:tabs>
          <w:tab w:val="left" w:pos="1890"/>
          <w:tab w:val="left" w:pos="2160"/>
          <w:tab w:val="left" w:pos="2610"/>
          <w:tab w:val="left" w:pos="4050"/>
          <w:tab w:val="left" w:pos="4590"/>
        </w:tabs>
        <w:spacing w:line="360" w:lineRule="auto"/>
        <w:jc w:val="both"/>
      </w:pPr>
    </w:p>
    <w:p w:rsidR="00375AC1" w:rsidRPr="00677467" w:rsidRDefault="00375AC1" w:rsidP="00375AC1">
      <w:pPr>
        <w:tabs>
          <w:tab w:val="left" w:pos="1890"/>
          <w:tab w:val="left" w:pos="2160"/>
          <w:tab w:val="left" w:pos="2610"/>
          <w:tab w:val="left" w:pos="4050"/>
          <w:tab w:val="left" w:pos="4590"/>
        </w:tabs>
        <w:spacing w:line="360" w:lineRule="auto"/>
        <w:jc w:val="both"/>
        <w:rPr>
          <w:color w:val="000000"/>
        </w:rPr>
      </w:pPr>
      <w:r w:rsidRPr="00677467">
        <w:t>conduce contabilitatea</w:t>
      </w:r>
      <w:r w:rsidR="00567EE2" w:rsidRPr="00677467">
        <w:t xml:space="preserve"> </w:t>
      </w:r>
      <w:r w:rsidR="00A325BD" w:rsidRPr="00677467">
        <w:t xml:space="preserve"> </w:t>
      </w:r>
      <w:r w:rsidR="00567EE2" w:rsidRPr="00677467">
        <w:t xml:space="preserve">în </w:t>
      </w:r>
      <w:r w:rsidRPr="00677467">
        <w:t xml:space="preserve"> conform</w:t>
      </w:r>
      <w:r w:rsidR="00567EE2" w:rsidRPr="00677467">
        <w:t xml:space="preserve">itate </w:t>
      </w:r>
      <w:r w:rsidRPr="00677467">
        <w:t xml:space="preserve"> cu  Standardele  Internaţionale de Raportare Financiară,  ale dispozițiilor Legii contabilității nr.82/1991, republicată, cu modificările și completările ulterioare</w:t>
      </w:r>
      <w:r w:rsidR="00CA43C0" w:rsidRPr="00677467">
        <w:t xml:space="preserve">, precum și ale altor dispoziții legale aplicabile. </w:t>
      </w:r>
    </w:p>
    <w:p w:rsidR="00440570" w:rsidRPr="00677467" w:rsidRDefault="00C31701" w:rsidP="00AA2E85">
      <w:pPr>
        <w:spacing w:line="360" w:lineRule="auto"/>
        <w:ind w:hanging="54"/>
        <w:jc w:val="both"/>
        <w:rPr>
          <w:color w:val="000000"/>
        </w:rPr>
      </w:pPr>
      <w:r w:rsidRPr="00677467">
        <w:rPr>
          <w:b/>
          <w:color w:val="000000"/>
        </w:rPr>
        <w:t xml:space="preserve">      </w:t>
      </w:r>
      <w:r w:rsidR="00440570" w:rsidRPr="00677467">
        <w:rPr>
          <w:b/>
          <w:color w:val="000000"/>
        </w:rPr>
        <w:t xml:space="preserve"> </w:t>
      </w:r>
      <w:r w:rsidR="00AA2E85" w:rsidRPr="00677467">
        <w:rPr>
          <w:b/>
          <w:color w:val="000000"/>
        </w:rPr>
        <w:tab/>
        <w:t xml:space="preserve"> </w:t>
      </w:r>
      <w:r w:rsidR="00440570" w:rsidRPr="00677467">
        <w:rPr>
          <w:b/>
          <w:color w:val="000000"/>
        </w:rPr>
        <w:t>Art. 2</w:t>
      </w:r>
      <w:r w:rsidR="00AA2E85" w:rsidRPr="00677467">
        <w:rPr>
          <w:color w:val="000000"/>
        </w:rPr>
        <w:t xml:space="preserve">. </w:t>
      </w:r>
      <w:r w:rsidR="00440570" w:rsidRPr="00677467">
        <w:rPr>
          <w:color w:val="000000"/>
        </w:rPr>
        <w:t>–</w:t>
      </w:r>
      <w:r w:rsidR="00404F31" w:rsidRPr="00677467">
        <w:rPr>
          <w:color w:val="000000"/>
        </w:rPr>
        <w:t xml:space="preserve"> </w:t>
      </w:r>
      <w:r w:rsidR="00440570" w:rsidRPr="00677467">
        <w:rPr>
          <w:color w:val="000000"/>
        </w:rPr>
        <w:t>În înţelesul prezentei norme</w:t>
      </w:r>
      <w:r w:rsidR="00BE7D50" w:rsidRPr="00677467">
        <w:rPr>
          <w:color w:val="000000"/>
        </w:rPr>
        <w:t>,</w:t>
      </w:r>
      <w:r w:rsidR="00440570" w:rsidRPr="00677467">
        <w:rPr>
          <w:color w:val="000000"/>
        </w:rPr>
        <w:t xml:space="preserve">  prin </w:t>
      </w:r>
      <w:r w:rsidR="00375AC1" w:rsidRPr="00677467">
        <w:rPr>
          <w:color w:val="000000"/>
        </w:rPr>
        <w:t xml:space="preserve"> </w:t>
      </w:r>
      <w:r w:rsidR="00440570" w:rsidRPr="00677467">
        <w:rPr>
          <w:color w:val="000000"/>
        </w:rPr>
        <w:t xml:space="preserve">Standardele Internaţionale de Raportare Financiară, denumite în continuare </w:t>
      </w:r>
      <w:r w:rsidR="0008631E" w:rsidRPr="00677467">
        <w:rPr>
          <w:color w:val="000000"/>
        </w:rPr>
        <w:t xml:space="preserve"> „</w:t>
      </w:r>
      <w:r w:rsidR="00440570" w:rsidRPr="00677467">
        <w:rPr>
          <w:i/>
          <w:color w:val="000000"/>
        </w:rPr>
        <w:t>IFRS</w:t>
      </w:r>
      <w:r w:rsidR="0008631E" w:rsidRPr="00677467">
        <w:rPr>
          <w:color w:val="000000"/>
        </w:rPr>
        <w:t xml:space="preserve">” </w:t>
      </w:r>
      <w:r w:rsidR="00440570" w:rsidRPr="00677467">
        <w:rPr>
          <w:color w:val="000000"/>
        </w:rPr>
        <w:t xml:space="preserve">, </w:t>
      </w:r>
      <w:r w:rsidR="00BE7D50" w:rsidRPr="00677467">
        <w:rPr>
          <w:color w:val="000000"/>
        </w:rPr>
        <w:t xml:space="preserve">se înţeleg </w:t>
      </w:r>
      <w:r w:rsidR="00440570" w:rsidRPr="00677467">
        <w:rPr>
          <w:color w:val="000000"/>
        </w:rPr>
        <w:t xml:space="preserve">standardele adoptate potrivit procedurii prevăzute la art. 6 alin. 2 din Regulamentul nr. 1.606/2002 al Parlamentului European şi al Consiliului din 19 iulie 2002 privind aplicarea standardelor internaţionale de contabilitate. </w:t>
      </w:r>
    </w:p>
    <w:p w:rsidR="00440570" w:rsidRPr="00677467" w:rsidRDefault="00440570" w:rsidP="00AA2E85">
      <w:pPr>
        <w:spacing w:line="360" w:lineRule="auto"/>
        <w:ind w:hanging="54"/>
        <w:jc w:val="both"/>
        <w:rPr>
          <w:color w:val="000000"/>
        </w:rPr>
      </w:pPr>
      <w:r w:rsidRPr="00677467">
        <w:rPr>
          <w:b/>
          <w:color w:val="000000"/>
        </w:rPr>
        <w:t xml:space="preserve"> </w:t>
      </w:r>
      <w:r w:rsidR="00ED5B4B" w:rsidRPr="00677467">
        <w:rPr>
          <w:b/>
          <w:color w:val="000000"/>
        </w:rPr>
        <w:t xml:space="preserve">   </w:t>
      </w:r>
      <w:r w:rsidR="0008631E" w:rsidRPr="00677467">
        <w:rPr>
          <w:b/>
          <w:color w:val="000000"/>
        </w:rPr>
        <w:t xml:space="preserve"> </w:t>
      </w:r>
      <w:r w:rsidR="00AA2E85" w:rsidRPr="00677467">
        <w:rPr>
          <w:b/>
          <w:color w:val="000000"/>
        </w:rPr>
        <w:t xml:space="preserve">        </w:t>
      </w:r>
      <w:r w:rsidR="0008631E" w:rsidRPr="00677467">
        <w:rPr>
          <w:b/>
          <w:color w:val="000000"/>
        </w:rPr>
        <w:t>A</w:t>
      </w:r>
      <w:r w:rsidRPr="00677467">
        <w:rPr>
          <w:b/>
          <w:color w:val="000000"/>
        </w:rPr>
        <w:t>rt. 3</w:t>
      </w:r>
      <w:r w:rsidR="00AA2E85" w:rsidRPr="00677467">
        <w:rPr>
          <w:b/>
          <w:color w:val="000000"/>
        </w:rPr>
        <w:t>.</w:t>
      </w:r>
      <w:r w:rsidRPr="00677467">
        <w:rPr>
          <w:b/>
          <w:color w:val="000000"/>
        </w:rPr>
        <w:t>-</w:t>
      </w:r>
      <w:r w:rsidRPr="00677467">
        <w:rPr>
          <w:color w:val="000000"/>
        </w:rPr>
        <w:t xml:space="preserve">  (1) Începând cu exerciţiul financiar al</w:t>
      </w:r>
      <w:r w:rsidRPr="00677467">
        <w:rPr>
          <w:b/>
          <w:color w:val="000000"/>
        </w:rPr>
        <w:t xml:space="preserve"> </w:t>
      </w:r>
      <w:r w:rsidRPr="00677467">
        <w:rPr>
          <w:color w:val="000000"/>
        </w:rPr>
        <w:t>anului 2015</w:t>
      </w:r>
      <w:r w:rsidR="0008631E" w:rsidRPr="00677467">
        <w:rPr>
          <w:color w:val="000000"/>
        </w:rPr>
        <w:t xml:space="preserve">, </w:t>
      </w:r>
      <w:r w:rsidRPr="00677467">
        <w:rPr>
          <w:color w:val="000000"/>
        </w:rPr>
        <w:t xml:space="preserve"> </w:t>
      </w:r>
      <w:r w:rsidR="005E55FE" w:rsidRPr="00677467">
        <w:rPr>
          <w:color w:val="000000"/>
        </w:rPr>
        <w:t xml:space="preserve">societăţile </w:t>
      </w:r>
      <w:r w:rsidR="00A325BD" w:rsidRPr="00677467">
        <w:rPr>
          <w:color w:val="000000"/>
        </w:rPr>
        <w:t xml:space="preserve"> </w:t>
      </w:r>
      <w:r w:rsidR="005E55FE" w:rsidRPr="00677467">
        <w:rPr>
          <w:color w:val="000000"/>
        </w:rPr>
        <w:t>menţionate</w:t>
      </w:r>
      <w:r w:rsidR="00265BB0" w:rsidRPr="00677467">
        <w:rPr>
          <w:color w:val="000000"/>
        </w:rPr>
        <w:t xml:space="preserve"> la art. 1</w:t>
      </w:r>
      <w:r w:rsidR="00BE7D50" w:rsidRPr="00677467">
        <w:rPr>
          <w:color w:val="000000"/>
        </w:rPr>
        <w:t xml:space="preserve"> </w:t>
      </w:r>
      <w:r w:rsidRPr="00677467">
        <w:rPr>
          <w:color w:val="000000"/>
        </w:rPr>
        <w:t>vor întocmi şi vor publica situaţiile financiare anuale individuale</w:t>
      </w:r>
      <w:r w:rsidR="00CA43C0" w:rsidRPr="00677467">
        <w:rPr>
          <w:color w:val="000000"/>
        </w:rPr>
        <w:t xml:space="preserve"> și consolidate </w:t>
      </w:r>
      <w:r w:rsidRPr="00677467">
        <w:rPr>
          <w:color w:val="000000"/>
        </w:rPr>
        <w:t xml:space="preserve"> în </w:t>
      </w:r>
      <w:r w:rsidR="00BE7D50" w:rsidRPr="00677467">
        <w:rPr>
          <w:color w:val="000000"/>
        </w:rPr>
        <w:t>conform</w:t>
      </w:r>
      <w:r w:rsidR="00CA43C0" w:rsidRPr="00677467">
        <w:rPr>
          <w:color w:val="000000"/>
        </w:rPr>
        <w:t xml:space="preserve">itate cu </w:t>
      </w:r>
      <w:r w:rsidRPr="00677467">
        <w:rPr>
          <w:color w:val="000000"/>
        </w:rPr>
        <w:t xml:space="preserve"> </w:t>
      </w:r>
      <w:r w:rsidR="00CA43C0" w:rsidRPr="00677467">
        <w:rPr>
          <w:color w:val="000000"/>
        </w:rPr>
        <w:t>„</w:t>
      </w:r>
      <w:r w:rsidRPr="00677467">
        <w:rPr>
          <w:color w:val="000000"/>
        </w:rPr>
        <w:t>IFRS</w:t>
      </w:r>
      <w:r w:rsidR="004715DF">
        <w:rPr>
          <w:color w:val="000000"/>
        </w:rPr>
        <w:t>”</w:t>
      </w:r>
      <w:r w:rsidRPr="00677467">
        <w:rPr>
          <w:color w:val="000000"/>
        </w:rPr>
        <w:t xml:space="preserve"> </w:t>
      </w:r>
    </w:p>
    <w:p w:rsidR="00440570" w:rsidRPr="00677467" w:rsidRDefault="00440570" w:rsidP="00AA2E85">
      <w:pPr>
        <w:spacing w:line="360" w:lineRule="auto"/>
        <w:ind w:hanging="54"/>
        <w:jc w:val="both"/>
        <w:rPr>
          <w:color w:val="000000"/>
        </w:rPr>
      </w:pPr>
      <w:r w:rsidRPr="00677467">
        <w:rPr>
          <w:color w:val="000000"/>
        </w:rPr>
        <w:t xml:space="preserve">în moneda naţională şi în limba română. </w:t>
      </w:r>
    </w:p>
    <w:p w:rsidR="00CA43C0" w:rsidRPr="00677467" w:rsidRDefault="00CA43C0" w:rsidP="00AA2E85">
      <w:pPr>
        <w:spacing w:line="360" w:lineRule="auto"/>
        <w:ind w:hanging="54"/>
        <w:jc w:val="both"/>
        <w:rPr>
          <w:color w:val="000000"/>
        </w:rPr>
      </w:pPr>
      <w:r w:rsidRPr="00677467">
        <w:rPr>
          <w:color w:val="000000"/>
        </w:rPr>
        <w:t xml:space="preserve">          </w:t>
      </w:r>
      <w:r w:rsidR="00A325BD" w:rsidRPr="00677467">
        <w:rPr>
          <w:color w:val="000000"/>
        </w:rPr>
        <w:t xml:space="preserve">           </w:t>
      </w:r>
      <w:r w:rsidRPr="00677467">
        <w:rPr>
          <w:color w:val="000000"/>
        </w:rPr>
        <w:t xml:space="preserve"> (2)  Situaţiile financiare anuale individuale și consolidate pentru exercițiul financiar al anului 2014 vor fi înt</w:t>
      </w:r>
      <w:r w:rsidR="00A325BD" w:rsidRPr="00677467">
        <w:rPr>
          <w:color w:val="000000"/>
        </w:rPr>
        <w:t>ocmite cu respectarea Reglementă</w:t>
      </w:r>
      <w:r w:rsidRPr="00677467">
        <w:rPr>
          <w:color w:val="000000"/>
        </w:rPr>
        <w:t xml:space="preserve">rilor contabile conforme cu directivele europene specifice domeniului asigurărilor aprobate prin Ordinul președintelui Comisiei de Supraveghere a Asigurărilor nr.3129/2005, cu modificările și completările ulterioare. </w:t>
      </w:r>
    </w:p>
    <w:p w:rsidR="00440570" w:rsidRPr="00677467" w:rsidRDefault="00440570" w:rsidP="00AA2E85">
      <w:pPr>
        <w:spacing w:line="360" w:lineRule="auto"/>
        <w:ind w:hanging="54"/>
        <w:jc w:val="both"/>
      </w:pPr>
      <w:r w:rsidRPr="00677467">
        <w:t xml:space="preserve">            </w:t>
      </w:r>
      <w:r w:rsidR="00AA2E85" w:rsidRPr="00677467">
        <w:t xml:space="preserve"> </w:t>
      </w:r>
      <w:r w:rsidR="00F3202E">
        <w:t xml:space="preserve">           </w:t>
      </w:r>
      <w:r w:rsidRPr="00677467">
        <w:t>(</w:t>
      </w:r>
      <w:r w:rsidR="005E55FE" w:rsidRPr="00677467">
        <w:t>3</w:t>
      </w:r>
      <w:r w:rsidRPr="00677467">
        <w:t xml:space="preserve">) Pentru asigurarea soldurilor de deschidere </w:t>
      </w:r>
      <w:r w:rsidR="00ED5B4B" w:rsidRPr="00677467">
        <w:t>prezentate în</w:t>
      </w:r>
      <w:r w:rsidRPr="00677467">
        <w:t xml:space="preserve"> situația poziti</w:t>
      </w:r>
      <w:r w:rsidR="00ED5B4B" w:rsidRPr="00677467">
        <w:t>ei</w:t>
      </w:r>
      <w:r w:rsidRPr="00677467">
        <w:t xml:space="preserve"> financiare la data de 31 decembrie 201</w:t>
      </w:r>
      <w:r w:rsidR="002B2212" w:rsidRPr="00677467">
        <w:t>5</w:t>
      </w:r>
      <w:r w:rsidR="005E55FE" w:rsidRPr="00677467">
        <w:t>,</w:t>
      </w:r>
      <w:r w:rsidRPr="00677467">
        <w:t xml:space="preserve"> </w:t>
      </w:r>
      <w:r w:rsidR="005E55FE" w:rsidRPr="00677467">
        <w:t>societăţile</w:t>
      </w:r>
      <w:r w:rsidRPr="00677467">
        <w:rPr>
          <w:color w:val="000000"/>
        </w:rPr>
        <w:t xml:space="preserve"> </w:t>
      </w:r>
      <w:r w:rsidR="0008631E" w:rsidRPr="00677467">
        <w:rPr>
          <w:color w:val="000000"/>
        </w:rPr>
        <w:t xml:space="preserve">de asigurare </w:t>
      </w:r>
      <w:r w:rsidRPr="00677467">
        <w:t xml:space="preserve">vor proceda la retratarea conform </w:t>
      </w:r>
      <w:r w:rsidR="00A50EC3" w:rsidRPr="00677467">
        <w:t xml:space="preserve">principiilor </w:t>
      </w:r>
      <w:r w:rsidRPr="00677467">
        <w:t xml:space="preserve">contabile prevǎzute de IFRS a informaţiilor </w:t>
      </w:r>
      <w:bookmarkStart w:id="0" w:name="tree#11"/>
      <w:r w:rsidR="00A50EC3" w:rsidRPr="00677467">
        <w:rPr>
          <w:color w:val="000000"/>
        </w:rPr>
        <w:t xml:space="preserve">din contabilitatea organizată </w:t>
      </w:r>
      <w:bookmarkEnd w:id="0"/>
      <w:r w:rsidRPr="00677467">
        <w:t xml:space="preserve">în </w:t>
      </w:r>
      <w:r w:rsidR="002B2212" w:rsidRPr="00677467">
        <w:t>conformitate cu Reglementǎrile</w:t>
      </w:r>
      <w:r w:rsidR="0008631E" w:rsidRPr="00677467">
        <w:t xml:space="preserve"> contabile conforme cu directivele e</w:t>
      </w:r>
      <w:r w:rsidRPr="00677467">
        <w:t xml:space="preserve">uropene specifice domeniului asigurǎrilor, aprobate prin Ordinul preşedintelui Comisiei de Supraveghere a Asigurǎrilor nr.3129/2005, cu modificǎrile şi completǎrile ulterioare. </w:t>
      </w:r>
    </w:p>
    <w:p w:rsidR="005753A6" w:rsidRPr="00677467" w:rsidRDefault="00840180" w:rsidP="003B6F3E">
      <w:pPr>
        <w:spacing w:line="360" w:lineRule="auto"/>
        <w:ind w:hanging="54"/>
        <w:jc w:val="both"/>
        <w:rPr>
          <w:color w:val="000000"/>
        </w:rPr>
      </w:pPr>
      <w:r>
        <w:rPr>
          <w:b/>
          <w:color w:val="000000"/>
        </w:rPr>
        <w:t xml:space="preserve">            </w:t>
      </w:r>
      <w:r w:rsidR="009E5A78" w:rsidRPr="00677467">
        <w:rPr>
          <w:b/>
          <w:color w:val="000000"/>
        </w:rPr>
        <w:t>Art. 4</w:t>
      </w:r>
      <w:r w:rsidR="009E5A78" w:rsidRPr="00677467">
        <w:rPr>
          <w:color w:val="000000"/>
        </w:rPr>
        <w:t xml:space="preserve">. – (1) Situaţiile financiare anuale întocmite în conformitate cu </w:t>
      </w:r>
      <w:r w:rsidR="003B6F3E" w:rsidRPr="00677467">
        <w:rPr>
          <w:color w:val="000000"/>
        </w:rPr>
        <w:t>„</w:t>
      </w:r>
      <w:r w:rsidR="009E5A78" w:rsidRPr="00677467">
        <w:rPr>
          <w:color w:val="000000"/>
        </w:rPr>
        <w:t>IFRS</w:t>
      </w:r>
      <w:r w:rsidR="003B6F3E">
        <w:rPr>
          <w:color w:val="000000"/>
        </w:rPr>
        <w:t>”</w:t>
      </w:r>
      <w:r w:rsidR="003B6F3E" w:rsidRPr="00677467">
        <w:rPr>
          <w:color w:val="000000"/>
        </w:rPr>
        <w:t xml:space="preserve"> </w:t>
      </w:r>
      <w:r w:rsidR="00DF407B" w:rsidRPr="00677467">
        <w:rPr>
          <w:color w:val="000000"/>
        </w:rPr>
        <w:t xml:space="preserve"> </w:t>
      </w:r>
      <w:r w:rsidR="009E5A78" w:rsidRPr="00677467">
        <w:rPr>
          <w:color w:val="000000"/>
        </w:rPr>
        <w:t>vor fi supuse  auditului statutar și publicate pe site-ul propriu al societății de asigurare-reasigurare</w:t>
      </w:r>
      <w:r w:rsidR="00455A83" w:rsidRPr="00677467">
        <w:rPr>
          <w:color w:val="000000"/>
        </w:rPr>
        <w:t>.</w:t>
      </w:r>
    </w:p>
    <w:p w:rsidR="009E5A78" w:rsidRPr="00677467" w:rsidRDefault="00936C95" w:rsidP="00AA2E85">
      <w:pPr>
        <w:spacing w:line="360" w:lineRule="auto"/>
        <w:jc w:val="both"/>
      </w:pPr>
      <w:r w:rsidRPr="00677467">
        <w:t xml:space="preserve">          </w:t>
      </w:r>
      <w:r w:rsidR="00F3202E">
        <w:t xml:space="preserve">               </w:t>
      </w:r>
      <w:r w:rsidRPr="00677467">
        <w:t xml:space="preserve"> </w:t>
      </w:r>
      <w:r w:rsidR="009E5A78" w:rsidRPr="00677467">
        <w:t xml:space="preserve">(2) Situaţiile financiare </w:t>
      </w:r>
      <w:r w:rsidR="009E5A78" w:rsidRPr="00677467">
        <w:rPr>
          <w:color w:val="000000"/>
        </w:rPr>
        <w:t>întocmite în conformitate cu</w:t>
      </w:r>
      <w:r w:rsidR="003B6F3E" w:rsidRPr="00677467">
        <w:rPr>
          <w:color w:val="000000"/>
        </w:rPr>
        <w:t>„IFRS</w:t>
      </w:r>
      <w:r w:rsidR="003B6F3E">
        <w:rPr>
          <w:color w:val="000000"/>
        </w:rPr>
        <w:t>”</w:t>
      </w:r>
      <w:r w:rsidR="003B6F3E" w:rsidRPr="00677467">
        <w:rPr>
          <w:color w:val="000000"/>
        </w:rPr>
        <w:t xml:space="preserve"> </w:t>
      </w:r>
      <w:r w:rsidR="009E5A78" w:rsidRPr="00677467">
        <w:rPr>
          <w:color w:val="000000"/>
        </w:rPr>
        <w:t xml:space="preserve"> menţionate la art.3, aprobate de Adunarea General</w:t>
      </w:r>
      <w:r w:rsidR="0067394A" w:rsidRPr="00677467">
        <w:rPr>
          <w:color w:val="000000"/>
        </w:rPr>
        <w:t>ă</w:t>
      </w:r>
      <w:r w:rsidR="009E5A78" w:rsidRPr="00677467">
        <w:rPr>
          <w:color w:val="000000"/>
        </w:rPr>
        <w:t xml:space="preserve"> a Actionarilor, împreună cu raportul de audit statutar, </w:t>
      </w:r>
      <w:r w:rsidR="009E5A78" w:rsidRPr="00677467">
        <w:t xml:space="preserve">vor fi transmise la Autoritatea de Supraveghere Financiară în </w:t>
      </w:r>
      <w:r w:rsidR="00F94EDD" w:rsidRPr="00677467">
        <w:t>maxim</w:t>
      </w:r>
      <w:r w:rsidR="00AA2E85" w:rsidRPr="00677467">
        <w:t>um</w:t>
      </w:r>
      <w:r w:rsidR="00F94EDD" w:rsidRPr="00677467">
        <w:t xml:space="preserve"> </w:t>
      </w:r>
      <w:r w:rsidR="009E5A78" w:rsidRPr="00677467">
        <w:t xml:space="preserve"> 4 luni </w:t>
      </w:r>
      <w:r w:rsidR="00567EE2" w:rsidRPr="00677467">
        <w:t xml:space="preserve"> </w:t>
      </w:r>
      <w:r w:rsidR="009E5A78" w:rsidRPr="00677467">
        <w:t>de la data încheierii exercițiului financiar pentru care au fost întocmite.</w:t>
      </w:r>
    </w:p>
    <w:p w:rsidR="00F3202E" w:rsidRDefault="00445173" w:rsidP="00AA2E85">
      <w:pPr>
        <w:spacing w:line="360" w:lineRule="auto"/>
        <w:jc w:val="both"/>
      </w:pPr>
      <w:r w:rsidRPr="00677467">
        <w:lastRenderedPageBreak/>
        <w:t xml:space="preserve">      </w:t>
      </w:r>
      <w:r w:rsidR="00F94EDD" w:rsidRPr="00677467">
        <w:t xml:space="preserve">  </w:t>
      </w:r>
      <w:r w:rsidR="0062160F" w:rsidRPr="00677467">
        <w:t xml:space="preserve">    </w:t>
      </w:r>
    </w:p>
    <w:p w:rsidR="00AA2E85" w:rsidRPr="00677467" w:rsidRDefault="00F3202E" w:rsidP="00AA2E85">
      <w:pPr>
        <w:spacing w:line="360" w:lineRule="auto"/>
        <w:jc w:val="both"/>
      </w:pPr>
      <w:r>
        <w:t xml:space="preserve">         </w:t>
      </w:r>
      <w:r w:rsidR="0062160F" w:rsidRPr="00677467">
        <w:t xml:space="preserve">  </w:t>
      </w:r>
      <w:r w:rsidR="00A428EA" w:rsidRPr="00677467">
        <w:rPr>
          <w:b/>
        </w:rPr>
        <w:t>Art.5</w:t>
      </w:r>
      <w:r w:rsidR="00AA2E85" w:rsidRPr="00677467">
        <w:rPr>
          <w:b/>
        </w:rPr>
        <w:t xml:space="preserve">. </w:t>
      </w:r>
      <w:r w:rsidR="00F94EDD" w:rsidRPr="00677467">
        <w:rPr>
          <w:b/>
        </w:rPr>
        <w:t xml:space="preserve"> -</w:t>
      </w:r>
      <w:r w:rsidR="00AA2E85" w:rsidRPr="00677467">
        <w:rPr>
          <w:b/>
        </w:rPr>
        <w:t xml:space="preserve"> </w:t>
      </w:r>
      <w:r w:rsidR="001123C5" w:rsidRPr="00677467">
        <w:rPr>
          <w:b/>
        </w:rPr>
        <w:t xml:space="preserve"> </w:t>
      </w:r>
      <w:r w:rsidR="00CA43C0" w:rsidRPr="00677467">
        <w:t>(1)</w:t>
      </w:r>
      <w:r w:rsidR="00CA43C0" w:rsidRPr="00677467">
        <w:rPr>
          <w:b/>
        </w:rPr>
        <w:t xml:space="preserve"> </w:t>
      </w:r>
      <w:r w:rsidR="00265BB0" w:rsidRPr="00677467">
        <w:t>Consiliul</w:t>
      </w:r>
      <w:r w:rsidR="00272AF8" w:rsidRPr="00677467">
        <w:t xml:space="preserve"> </w:t>
      </w:r>
      <w:r w:rsidR="00265BB0" w:rsidRPr="00677467">
        <w:t>de Supraveghere</w:t>
      </w:r>
      <w:r w:rsidR="00445173" w:rsidRPr="00677467">
        <w:t>/</w:t>
      </w:r>
      <w:r w:rsidR="00265BB0" w:rsidRPr="00677467">
        <w:t>C</w:t>
      </w:r>
      <w:r w:rsidR="00096090" w:rsidRPr="00677467">
        <w:t xml:space="preserve">onsiliul de </w:t>
      </w:r>
      <w:r w:rsidR="00265BB0" w:rsidRPr="00677467">
        <w:t>a</w:t>
      </w:r>
      <w:r w:rsidR="00096090" w:rsidRPr="00677467">
        <w:t>dministraţie,</w:t>
      </w:r>
      <w:r w:rsidR="00265BB0" w:rsidRPr="00677467">
        <w:t xml:space="preserve"> membrii </w:t>
      </w:r>
      <w:r w:rsidR="00F94EDD" w:rsidRPr="00677467">
        <w:t>d</w:t>
      </w:r>
      <w:r w:rsidR="00265BB0" w:rsidRPr="00677467">
        <w:t>irectoratului/</w:t>
      </w:r>
      <w:r w:rsidR="00096090" w:rsidRPr="00677467">
        <w:t xml:space="preserve">conducerea executivǎ, conducǎtorul compartimentului economico – financiar </w:t>
      </w:r>
      <w:r w:rsidR="00445173" w:rsidRPr="00677467">
        <w:t xml:space="preserve">ai societăților prevăzute la </w:t>
      </w:r>
      <w:r w:rsidR="00AA2E85" w:rsidRPr="00677467">
        <w:t>a</w:t>
      </w:r>
      <w:r w:rsidR="00445173" w:rsidRPr="00677467">
        <w:t xml:space="preserve">rt. 1, </w:t>
      </w:r>
      <w:r w:rsidR="00096090" w:rsidRPr="00677467">
        <w:t xml:space="preserve">trebuie sǎ asigure mǎsurile necesare </w:t>
      </w:r>
      <w:r w:rsidR="00BB7A35" w:rsidRPr="00677467">
        <w:t xml:space="preserve">în vederea </w:t>
      </w:r>
      <w:r w:rsidR="00114E7C" w:rsidRPr="00677467">
        <w:t>adopt</w:t>
      </w:r>
      <w:r w:rsidR="00936C95" w:rsidRPr="00677467">
        <w:t>ă</w:t>
      </w:r>
      <w:r w:rsidR="00114E7C" w:rsidRPr="00677467">
        <w:t xml:space="preserve">rii </w:t>
      </w:r>
      <w:r w:rsidR="003B6F3E" w:rsidRPr="00677467">
        <w:rPr>
          <w:color w:val="000000"/>
        </w:rPr>
        <w:t>„IFRS</w:t>
      </w:r>
      <w:r w:rsidR="003B6F3E">
        <w:rPr>
          <w:color w:val="000000"/>
        </w:rPr>
        <w:t>”</w:t>
      </w:r>
      <w:r w:rsidR="003B6F3E" w:rsidRPr="00677467">
        <w:rPr>
          <w:color w:val="000000"/>
        </w:rPr>
        <w:t xml:space="preserve"> </w:t>
      </w:r>
      <w:r w:rsidR="00114E7C" w:rsidRPr="00677467">
        <w:t xml:space="preserve"> ca baz</w:t>
      </w:r>
      <w:r w:rsidR="00CB1B58" w:rsidRPr="00677467">
        <w:t>ă</w:t>
      </w:r>
      <w:r w:rsidR="00114E7C" w:rsidRPr="00677467">
        <w:t xml:space="preserve"> a contabilit</w:t>
      </w:r>
      <w:r w:rsidR="00936C95" w:rsidRPr="00677467">
        <w:t>ăț</w:t>
      </w:r>
      <w:r w:rsidR="00114E7C" w:rsidRPr="00677467">
        <w:t xml:space="preserve">tii </w:t>
      </w:r>
      <w:r w:rsidR="009E5A78" w:rsidRPr="00677467">
        <w:t xml:space="preserve">pentru </w:t>
      </w:r>
      <w:r w:rsidR="00114E7C" w:rsidRPr="00677467">
        <w:t>întocmir</w:t>
      </w:r>
      <w:r w:rsidR="009E5A78" w:rsidRPr="00677467">
        <w:t xml:space="preserve">ea </w:t>
      </w:r>
      <w:r w:rsidR="00114E7C" w:rsidRPr="00677467">
        <w:t xml:space="preserve">situațiilor financiare anuale </w:t>
      </w:r>
      <w:r w:rsidR="00232B78" w:rsidRPr="00677467">
        <w:t xml:space="preserve">conforme cu </w:t>
      </w:r>
      <w:r w:rsidR="003B6F3E" w:rsidRPr="00677467">
        <w:rPr>
          <w:color w:val="000000"/>
        </w:rPr>
        <w:t>„IFRS</w:t>
      </w:r>
      <w:r w:rsidR="003B6F3E">
        <w:rPr>
          <w:color w:val="000000"/>
        </w:rPr>
        <w:t>”</w:t>
      </w:r>
      <w:r w:rsidR="003B6F3E" w:rsidRPr="00677467">
        <w:rPr>
          <w:color w:val="000000"/>
        </w:rPr>
        <w:t xml:space="preserve"> </w:t>
      </w:r>
      <w:r w:rsidR="00114E7C" w:rsidRPr="00677467">
        <w:t>.</w:t>
      </w:r>
      <w:r w:rsidR="00096090" w:rsidRPr="00677467">
        <w:t xml:space="preserve"> </w:t>
      </w:r>
    </w:p>
    <w:p w:rsidR="0005002E" w:rsidRPr="00677467" w:rsidRDefault="00A74427" w:rsidP="003B6F3E">
      <w:pPr>
        <w:spacing w:line="360" w:lineRule="auto"/>
        <w:ind w:right="-18"/>
        <w:jc w:val="both"/>
      </w:pPr>
      <w:r w:rsidRPr="00677467">
        <w:t xml:space="preserve">         </w:t>
      </w:r>
      <w:r w:rsidR="00CA43C0" w:rsidRPr="00677467">
        <w:t>(2)-</w:t>
      </w:r>
      <w:r w:rsidR="0005002E" w:rsidRPr="00677467">
        <w:t xml:space="preserve"> Persoanele menţionate la alin.(1) rǎspund potrivit responsabilitǎţilor şi competenţelor stabilite în cadrul societǎţii pentru transpunerea soldurilor conturilor contabile din balanţa de verificare la 31 decembrie 2014, în soldurile de deschidere ale conturilor aferente exerciţiului financiar al anului 2015, cuprinse în noul plan de conturi prev</w:t>
      </w:r>
      <w:r w:rsidR="003B6F3E">
        <w:t>ă</w:t>
      </w:r>
      <w:r w:rsidR="0005002E" w:rsidRPr="00677467">
        <w:t>zut în reglementările</w:t>
      </w:r>
      <w:r w:rsidR="0062160F" w:rsidRPr="00677467">
        <w:t xml:space="preserve"> contabile</w:t>
      </w:r>
      <w:r w:rsidR="003B6F3E">
        <w:t xml:space="preserve"> </w:t>
      </w:r>
      <w:r w:rsidR="0062160F" w:rsidRPr="00677467">
        <w:t xml:space="preserve">emise de Autoritatea de Supraveghere Financiară, pentru punerea în aplicare a prevederilor prezentei norme.  Răspunderea persoanelor prevăzute la alin .(1) va viza și asigurarea exactității și realității datelor  care sunt prelucrate, respectiv care sunt înscrise în situațiile financiare individuale. </w:t>
      </w:r>
    </w:p>
    <w:p w:rsidR="00445173" w:rsidRPr="00677467" w:rsidRDefault="00445173" w:rsidP="003B6F3E">
      <w:pPr>
        <w:spacing w:line="360" w:lineRule="auto"/>
        <w:ind w:right="-18"/>
        <w:jc w:val="both"/>
        <w:rPr>
          <w:color w:val="000000"/>
        </w:rPr>
      </w:pPr>
      <w:r w:rsidRPr="00677467">
        <w:rPr>
          <w:b/>
        </w:rPr>
        <w:t xml:space="preserve">       </w:t>
      </w:r>
      <w:r w:rsidR="00F94EDD" w:rsidRPr="00677467">
        <w:rPr>
          <w:b/>
        </w:rPr>
        <w:t xml:space="preserve"> </w:t>
      </w:r>
      <w:r w:rsidR="00232B78" w:rsidRPr="00677467">
        <w:rPr>
          <w:b/>
          <w:color w:val="000000"/>
        </w:rPr>
        <w:t>Art</w:t>
      </w:r>
      <w:r w:rsidR="00A428EA" w:rsidRPr="00677467">
        <w:rPr>
          <w:color w:val="000000"/>
        </w:rPr>
        <w:t>.</w:t>
      </w:r>
      <w:r w:rsidR="00232B78" w:rsidRPr="00677467">
        <w:rPr>
          <w:color w:val="000000"/>
        </w:rPr>
        <w:t xml:space="preserve"> </w:t>
      </w:r>
      <w:r w:rsidR="00A428EA" w:rsidRPr="00677467">
        <w:rPr>
          <w:b/>
          <w:color w:val="000000"/>
        </w:rPr>
        <w:t>6</w:t>
      </w:r>
      <w:r w:rsidR="00AA2E85" w:rsidRPr="00677467">
        <w:rPr>
          <w:b/>
          <w:color w:val="000000"/>
        </w:rPr>
        <w:t>.</w:t>
      </w:r>
      <w:r w:rsidR="00232B78" w:rsidRPr="00677467">
        <w:rPr>
          <w:color w:val="000000"/>
        </w:rPr>
        <w:t xml:space="preserve">  </w:t>
      </w:r>
      <w:r w:rsidR="00AA2E85" w:rsidRPr="00677467">
        <w:rPr>
          <w:color w:val="000000"/>
        </w:rPr>
        <w:t xml:space="preserve"> </w:t>
      </w:r>
      <w:r w:rsidR="00AA2E85" w:rsidRPr="00677467">
        <w:rPr>
          <w:b/>
          <w:color w:val="000000"/>
        </w:rPr>
        <w:t xml:space="preserve">-  </w:t>
      </w:r>
      <w:r w:rsidRPr="00677467">
        <w:rPr>
          <w:color w:val="000000"/>
        </w:rPr>
        <w:t xml:space="preserve">Prezenta normă se publică </w:t>
      </w:r>
      <w:r w:rsidRPr="00677467">
        <w:t xml:space="preserve">în Monitorul Oficial al României, Partea I și intră în vigoare </w:t>
      </w:r>
      <w:r w:rsidRPr="00677467">
        <w:rPr>
          <w:color w:val="000000"/>
        </w:rPr>
        <w:t>î</w:t>
      </w:r>
      <w:r w:rsidR="00232B78" w:rsidRPr="00677467">
        <w:rPr>
          <w:color w:val="000000"/>
        </w:rPr>
        <w:t>ncep</w:t>
      </w:r>
      <w:r w:rsidR="00455A83" w:rsidRPr="00677467">
        <w:rPr>
          <w:color w:val="000000"/>
        </w:rPr>
        <w:t>â</w:t>
      </w:r>
      <w:r w:rsidR="00232B78" w:rsidRPr="00677467">
        <w:rPr>
          <w:color w:val="000000"/>
        </w:rPr>
        <w:t xml:space="preserve">nd cu </w:t>
      </w:r>
      <w:r w:rsidR="00A325BD" w:rsidRPr="00677467">
        <w:rPr>
          <w:color w:val="000000"/>
        </w:rPr>
        <w:t xml:space="preserve">1 ianuarie </w:t>
      </w:r>
      <w:r w:rsidR="00F94EDD" w:rsidRPr="00677467">
        <w:rPr>
          <w:color w:val="000000"/>
        </w:rPr>
        <w:t xml:space="preserve">2015. </w:t>
      </w:r>
      <w:r w:rsidR="00232B78" w:rsidRPr="00677467">
        <w:rPr>
          <w:color w:val="000000"/>
        </w:rPr>
        <w:t xml:space="preserve"> </w:t>
      </w:r>
    </w:p>
    <w:p w:rsidR="00840180" w:rsidRDefault="00445173" w:rsidP="00AA2E85">
      <w:pPr>
        <w:spacing w:line="360" w:lineRule="auto"/>
        <w:jc w:val="both"/>
        <w:rPr>
          <w:color w:val="000000"/>
        </w:rPr>
      </w:pPr>
      <w:r w:rsidRPr="00677467">
        <w:rPr>
          <w:color w:val="000000"/>
        </w:rPr>
        <w:t xml:space="preserve">      </w:t>
      </w:r>
      <w:r w:rsidR="00AA2E85" w:rsidRPr="00677467">
        <w:rPr>
          <w:color w:val="000000"/>
        </w:rPr>
        <w:t xml:space="preserve"> </w:t>
      </w:r>
      <w:r w:rsidR="00AA2E85" w:rsidRPr="00677467">
        <w:rPr>
          <w:b/>
        </w:rPr>
        <w:t>Art.</w:t>
      </w:r>
      <w:r w:rsidRPr="00677467">
        <w:rPr>
          <w:b/>
        </w:rPr>
        <w:t>7</w:t>
      </w:r>
      <w:r w:rsidR="00AA2E85" w:rsidRPr="00677467">
        <w:rPr>
          <w:b/>
        </w:rPr>
        <w:t xml:space="preserve">. </w:t>
      </w:r>
      <w:r w:rsidR="00840180">
        <w:rPr>
          <w:b/>
        </w:rPr>
        <w:t>–</w:t>
      </w:r>
      <w:r w:rsidRPr="00677467">
        <w:rPr>
          <w:b/>
        </w:rPr>
        <w:t xml:space="preserve"> </w:t>
      </w:r>
      <w:r w:rsidR="00840180" w:rsidRPr="00840180">
        <w:t>(1)</w:t>
      </w:r>
      <w:r w:rsidRPr="00677467">
        <w:t>La data intării în vigoare a prezentei norme</w:t>
      </w:r>
      <w:r w:rsidR="00232B78" w:rsidRPr="00677467">
        <w:rPr>
          <w:color w:val="000000"/>
        </w:rPr>
        <w:t xml:space="preserve"> se abrogă prevederile aplicabile </w:t>
      </w:r>
      <w:r w:rsidR="00F4784C">
        <w:rPr>
          <w:color w:val="000000"/>
        </w:rPr>
        <w:t xml:space="preserve">societăților de asigurare, de asigurare-reasigurare și de reasigurare </w:t>
      </w:r>
      <w:r w:rsidR="00232B78" w:rsidRPr="00677467">
        <w:rPr>
          <w:color w:val="000000"/>
        </w:rPr>
        <w:t xml:space="preserve">din </w:t>
      </w:r>
      <w:r w:rsidR="0008631E" w:rsidRPr="00677467">
        <w:rPr>
          <w:color w:val="000000"/>
        </w:rPr>
        <w:t>Reglementările</w:t>
      </w:r>
      <w:r w:rsidR="00232B78" w:rsidRPr="00677467">
        <w:rPr>
          <w:color w:val="000000"/>
        </w:rPr>
        <w:t xml:space="preserve"> contabile conforme cu </w:t>
      </w:r>
      <w:r w:rsidR="0008631E" w:rsidRPr="00677467">
        <w:rPr>
          <w:color w:val="000000"/>
        </w:rPr>
        <w:t>d</w:t>
      </w:r>
      <w:r w:rsidR="00232B78" w:rsidRPr="00677467">
        <w:rPr>
          <w:color w:val="000000"/>
        </w:rPr>
        <w:t xml:space="preserve">irectivele </w:t>
      </w:r>
      <w:r w:rsidR="0008631E" w:rsidRPr="00677467">
        <w:rPr>
          <w:color w:val="000000"/>
        </w:rPr>
        <w:t>e</w:t>
      </w:r>
      <w:r w:rsidR="00232B78" w:rsidRPr="00677467">
        <w:rPr>
          <w:color w:val="000000"/>
        </w:rPr>
        <w:t xml:space="preserve">uropene, </w:t>
      </w:r>
      <w:r w:rsidR="00455A83" w:rsidRPr="00677467">
        <w:rPr>
          <w:color w:val="000000"/>
        </w:rPr>
        <w:t xml:space="preserve">specifice domeniului asigurărilor </w:t>
      </w:r>
      <w:r w:rsidR="00232B78" w:rsidRPr="00677467">
        <w:rPr>
          <w:color w:val="000000"/>
        </w:rPr>
        <w:t>aprobate prin Ordinul preşedintelui C</w:t>
      </w:r>
      <w:r w:rsidR="0008631E" w:rsidRPr="00677467">
        <w:rPr>
          <w:color w:val="000000"/>
        </w:rPr>
        <w:t xml:space="preserve">omisiei de Supraveghere a Asigurărilor </w:t>
      </w:r>
      <w:r w:rsidR="00232B78" w:rsidRPr="00677467">
        <w:rPr>
          <w:color w:val="000000"/>
        </w:rPr>
        <w:t>nr. 3</w:t>
      </w:r>
      <w:r w:rsidR="00AB053F" w:rsidRPr="00677467">
        <w:rPr>
          <w:color w:val="000000"/>
        </w:rPr>
        <w:t>.</w:t>
      </w:r>
      <w:r w:rsidR="00232B78" w:rsidRPr="00677467">
        <w:rPr>
          <w:color w:val="000000"/>
        </w:rPr>
        <w:t>129/2005</w:t>
      </w:r>
      <w:r w:rsidR="00DE6DEE" w:rsidRPr="00677467">
        <w:rPr>
          <w:color w:val="000000"/>
        </w:rPr>
        <w:t>, cu modific</w:t>
      </w:r>
      <w:r w:rsidR="0008631E" w:rsidRPr="00677467">
        <w:rPr>
          <w:color w:val="000000"/>
        </w:rPr>
        <w:t>ările și completă</w:t>
      </w:r>
      <w:r w:rsidR="00AB053F" w:rsidRPr="00677467">
        <w:rPr>
          <w:color w:val="000000"/>
        </w:rPr>
        <w:t>rile ulterioare</w:t>
      </w:r>
      <w:r w:rsidR="00840180">
        <w:rPr>
          <w:color w:val="000000"/>
        </w:rPr>
        <w:t xml:space="preserve">. </w:t>
      </w:r>
    </w:p>
    <w:p w:rsidR="00440570" w:rsidRPr="00272AF8" w:rsidRDefault="00840180" w:rsidP="004A1025">
      <w:pPr>
        <w:spacing w:line="360" w:lineRule="auto"/>
        <w:jc w:val="both"/>
        <w:rPr>
          <w:b/>
          <w:color w:val="000000"/>
        </w:rPr>
      </w:pPr>
      <w:r>
        <w:rPr>
          <w:color w:val="000000"/>
        </w:rPr>
        <w:t xml:space="preserve">                   (2) P</w:t>
      </w:r>
      <w:r w:rsidR="00DE4BDD">
        <w:rPr>
          <w:color w:val="000000"/>
        </w:rPr>
        <w:t xml:space="preserve">revederile </w:t>
      </w:r>
      <w:r w:rsidR="005E0A34">
        <w:rPr>
          <w:color w:val="000000"/>
        </w:rPr>
        <w:t xml:space="preserve">aplicabile </w:t>
      </w:r>
      <w:r w:rsidR="00DE4BDD">
        <w:rPr>
          <w:color w:val="000000"/>
        </w:rPr>
        <w:t xml:space="preserve">brokerilor de asigurare/reasigurare </w:t>
      </w:r>
      <w:r w:rsidR="004730BD">
        <w:rPr>
          <w:color w:val="000000"/>
        </w:rPr>
        <w:t>di</w:t>
      </w:r>
      <w:r w:rsidRPr="00677467">
        <w:rPr>
          <w:color w:val="000000"/>
        </w:rPr>
        <w:t>n Reglementările contabile conforme cu directivele europene, specifice domeniului asigurărilor</w:t>
      </w:r>
      <w:r w:rsidR="004730BD">
        <w:rPr>
          <w:color w:val="000000"/>
        </w:rPr>
        <w:t xml:space="preserve"> </w:t>
      </w:r>
      <w:r w:rsidRPr="00677467">
        <w:rPr>
          <w:color w:val="000000"/>
        </w:rPr>
        <w:t>aprobate prin Ordinul preşedintelui Comisiei de Supraveghere a Asigurărilor nr. 3.129/2005, cu modificările și completările ulterioare</w:t>
      </w:r>
      <w:r>
        <w:rPr>
          <w:color w:val="000000"/>
        </w:rPr>
        <w:t xml:space="preserve"> </w:t>
      </w:r>
      <w:r w:rsidR="00DE4BDD">
        <w:rPr>
          <w:color w:val="000000"/>
        </w:rPr>
        <w:t xml:space="preserve">râmân </w:t>
      </w:r>
      <w:r>
        <w:rPr>
          <w:color w:val="000000"/>
        </w:rPr>
        <w:t xml:space="preserve">în continuare în </w:t>
      </w:r>
      <w:r w:rsidR="00DE4BDD">
        <w:rPr>
          <w:color w:val="000000"/>
        </w:rPr>
        <w:t xml:space="preserve">vigoare până </w:t>
      </w:r>
      <w:r>
        <w:rPr>
          <w:color w:val="000000"/>
        </w:rPr>
        <w:t xml:space="preserve">în </w:t>
      </w:r>
      <w:r w:rsidR="00DE4BDD">
        <w:rPr>
          <w:color w:val="000000"/>
        </w:rPr>
        <w:t xml:space="preserve">momentul publicării unor noi dispoziții legale elaborate în acest sens </w:t>
      </w:r>
      <w:r w:rsidR="00191098" w:rsidRPr="00677467">
        <w:rPr>
          <w:color w:val="000000"/>
        </w:rPr>
        <w:t>.</w:t>
      </w:r>
      <w:r w:rsidR="00191098">
        <w:rPr>
          <w:color w:val="000000"/>
        </w:rPr>
        <w:t xml:space="preserve"> </w:t>
      </w:r>
      <w:r w:rsidR="004A1025">
        <w:rPr>
          <w:color w:val="000000"/>
        </w:rPr>
        <w:t xml:space="preserve">                                                     </w:t>
      </w:r>
      <w:r w:rsidR="00191E14">
        <w:rPr>
          <w:b/>
          <w:color w:val="000000"/>
        </w:rPr>
        <w:t>P</w:t>
      </w:r>
      <w:r w:rsidR="00272AF8" w:rsidRPr="00272AF8">
        <w:rPr>
          <w:b/>
          <w:color w:val="000000"/>
        </w:rPr>
        <w:t>re</w:t>
      </w:r>
      <w:r w:rsidR="00272AF8">
        <w:rPr>
          <w:b/>
          <w:color w:val="000000"/>
        </w:rPr>
        <w:t>ș</w:t>
      </w:r>
      <w:r w:rsidR="00272AF8" w:rsidRPr="00272AF8">
        <w:rPr>
          <w:b/>
          <w:color w:val="000000"/>
        </w:rPr>
        <w:t>edintele</w:t>
      </w:r>
    </w:p>
    <w:p w:rsidR="00D24A80" w:rsidRDefault="00D24A80" w:rsidP="00AA2E85">
      <w:pPr>
        <w:spacing w:line="360" w:lineRule="auto"/>
        <w:ind w:hanging="54"/>
        <w:jc w:val="center"/>
        <w:rPr>
          <w:rStyle w:val="preambul1"/>
          <w:b/>
          <w:i w:val="0"/>
        </w:rPr>
      </w:pPr>
      <w:r w:rsidRPr="00821154">
        <w:rPr>
          <w:rStyle w:val="preambul1"/>
          <w:b/>
          <w:i w:val="0"/>
        </w:rPr>
        <w:t>Autorităţii de Supraveghere Financiară</w:t>
      </w:r>
    </w:p>
    <w:p w:rsidR="005E0A34" w:rsidRDefault="00114E7C" w:rsidP="004A1025">
      <w:pPr>
        <w:spacing w:line="360" w:lineRule="auto"/>
        <w:ind w:hanging="54"/>
        <w:jc w:val="center"/>
      </w:pPr>
      <w:r>
        <w:rPr>
          <w:rStyle w:val="preambul1"/>
          <w:b/>
          <w:i w:val="0"/>
        </w:rPr>
        <w:t xml:space="preserve">Mișu Negrițoiu </w:t>
      </w:r>
    </w:p>
    <w:p w:rsidR="005E0A34" w:rsidRDefault="005E0A34" w:rsidP="00AA2E85"/>
    <w:p w:rsidR="005E0A34" w:rsidRDefault="005E0A34" w:rsidP="00AA2E85"/>
    <w:p w:rsidR="005E0A34" w:rsidRDefault="005E0A34" w:rsidP="00AA2E85"/>
    <w:p w:rsidR="006F5AAE" w:rsidRDefault="006F5AAE" w:rsidP="00AA2E85">
      <w:pPr>
        <w:jc w:val="right"/>
      </w:pPr>
    </w:p>
    <w:sectPr w:rsidR="006F5AAE" w:rsidSect="00BA30B5">
      <w:headerReference w:type="default" r:id="rId8"/>
      <w:footerReference w:type="default" r:id="rId9"/>
      <w:pgSz w:w="12240" w:h="15840" w:code="1"/>
      <w:pgMar w:top="1440" w:right="1134" w:bottom="1440" w:left="1134" w:header="709" w:footer="8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99" w:rsidRDefault="004F5699" w:rsidP="009C63E8">
      <w:r>
        <w:separator/>
      </w:r>
    </w:p>
  </w:endnote>
  <w:endnote w:type="continuationSeparator" w:id="0">
    <w:p w:rsidR="004F5699" w:rsidRDefault="004F5699" w:rsidP="009C6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EUAlbertina">
    <w:altName w:val="Times New Roman"/>
    <w:charset w:val="00"/>
    <w:family w:val="auto"/>
    <w:pitch w:val="variable"/>
    <w:sig w:usb0="00000001" w:usb1="1000E0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80" w:rsidRDefault="004D652D">
    <w:pPr>
      <w:pStyle w:val="Footer"/>
      <w:jc w:val="right"/>
    </w:pPr>
    <w:fldSimple w:instr=" PAGE   \* MERGEFORMAT ">
      <w:r w:rsidR="00ED07A9">
        <w:rPr>
          <w:noProof/>
        </w:rPr>
        <w:t>1</w:t>
      </w:r>
    </w:fldSimple>
  </w:p>
  <w:p w:rsidR="00BA30B5" w:rsidRPr="006A24D0" w:rsidRDefault="00BA30B5" w:rsidP="0052063D">
    <w:pPr>
      <w:pStyle w:val="Foote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99" w:rsidRDefault="004F5699" w:rsidP="009C63E8">
      <w:r>
        <w:separator/>
      </w:r>
    </w:p>
  </w:footnote>
  <w:footnote w:type="continuationSeparator" w:id="0">
    <w:p w:rsidR="004F5699" w:rsidRDefault="004F5699" w:rsidP="009C6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B5" w:rsidRDefault="00411684">
    <w:pPr>
      <w:pStyle w:val="Header"/>
    </w:pPr>
    <w:r>
      <w:rPr>
        <w:noProof/>
        <w:lang w:val="en-US"/>
      </w:rPr>
      <w:drawing>
        <wp:inline distT="0" distB="0" distL="0" distR="0">
          <wp:extent cx="6324600" cy="1209675"/>
          <wp:effectExtent l="0" t="0" r="0" b="0"/>
          <wp:docPr id="1" name="Picture 1" descr="C:\Users\mbutoianu\Desktop\ANTETE CU LOGO\PNG - uri\ANTET ASF -  SIMP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toianu\Desktop\ANTETE CU LOGO\PNG - uri\ANTET ASF -  SIMPLU.png"/>
                  <pic:cNvPicPr>
                    <a:picLocks noChangeAspect="1" noChangeArrowheads="1"/>
                  </pic:cNvPicPr>
                </pic:nvPicPr>
                <pic:blipFill>
                  <a:blip r:embed="rId1"/>
                  <a:srcRect/>
                  <a:stretch>
                    <a:fillRect/>
                  </a:stretch>
                </pic:blipFill>
                <pic:spPr bwMode="auto">
                  <a:xfrm>
                    <a:off x="0" y="0"/>
                    <a:ext cx="6324600"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55B"/>
    <w:multiLevelType w:val="hybridMultilevel"/>
    <w:tmpl w:val="FB6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801FA"/>
    <w:multiLevelType w:val="hybridMultilevel"/>
    <w:tmpl w:val="57C213E0"/>
    <w:lvl w:ilvl="0" w:tplc="E4C4D70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3093C16"/>
    <w:multiLevelType w:val="hybridMultilevel"/>
    <w:tmpl w:val="D18C6A82"/>
    <w:lvl w:ilvl="0" w:tplc="4C3899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41392"/>
    <w:multiLevelType w:val="hybridMultilevel"/>
    <w:tmpl w:val="4C10800E"/>
    <w:lvl w:ilvl="0" w:tplc="CCF08CCC">
      <w:start w:val="1"/>
      <w:numFmt w:val="decimal"/>
      <w:lvlText w:val="%1."/>
      <w:lvlJc w:val="left"/>
      <w:pPr>
        <w:ind w:left="360"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C63E8"/>
    <w:rsid w:val="00010AFC"/>
    <w:rsid w:val="00037064"/>
    <w:rsid w:val="00042267"/>
    <w:rsid w:val="000432A0"/>
    <w:rsid w:val="0005002E"/>
    <w:rsid w:val="000741FF"/>
    <w:rsid w:val="0008196C"/>
    <w:rsid w:val="00083E55"/>
    <w:rsid w:val="0008631E"/>
    <w:rsid w:val="00096090"/>
    <w:rsid w:val="000A394F"/>
    <w:rsid w:val="000A6DEA"/>
    <w:rsid w:val="000C091D"/>
    <w:rsid w:val="0010751A"/>
    <w:rsid w:val="001123C5"/>
    <w:rsid w:val="00113678"/>
    <w:rsid w:val="00114E7C"/>
    <w:rsid w:val="00117DBF"/>
    <w:rsid w:val="001243ED"/>
    <w:rsid w:val="00127EB2"/>
    <w:rsid w:val="00131E66"/>
    <w:rsid w:val="00143D1D"/>
    <w:rsid w:val="00150A56"/>
    <w:rsid w:val="001568F8"/>
    <w:rsid w:val="00156C1D"/>
    <w:rsid w:val="00180779"/>
    <w:rsid w:val="00191098"/>
    <w:rsid w:val="00191E14"/>
    <w:rsid w:val="001A3E2A"/>
    <w:rsid w:val="001B15F6"/>
    <w:rsid w:val="001C6D32"/>
    <w:rsid w:val="001D023E"/>
    <w:rsid w:val="001E0372"/>
    <w:rsid w:val="00205BEE"/>
    <w:rsid w:val="00212141"/>
    <w:rsid w:val="0021222D"/>
    <w:rsid w:val="0022287F"/>
    <w:rsid w:val="0023053E"/>
    <w:rsid w:val="0023137C"/>
    <w:rsid w:val="00232B78"/>
    <w:rsid w:val="00252E6F"/>
    <w:rsid w:val="00265BB0"/>
    <w:rsid w:val="00272AF8"/>
    <w:rsid w:val="002751FC"/>
    <w:rsid w:val="002808A1"/>
    <w:rsid w:val="00293A0F"/>
    <w:rsid w:val="002A65E9"/>
    <w:rsid w:val="002B2212"/>
    <w:rsid w:val="002C21DE"/>
    <w:rsid w:val="002D00AE"/>
    <w:rsid w:val="002E6E8A"/>
    <w:rsid w:val="002E7538"/>
    <w:rsid w:val="002F2C9E"/>
    <w:rsid w:val="00303EFF"/>
    <w:rsid w:val="00326414"/>
    <w:rsid w:val="0033482E"/>
    <w:rsid w:val="0036515F"/>
    <w:rsid w:val="00365AE0"/>
    <w:rsid w:val="0036781B"/>
    <w:rsid w:val="00375AC1"/>
    <w:rsid w:val="003823C5"/>
    <w:rsid w:val="0039602A"/>
    <w:rsid w:val="003B6F3E"/>
    <w:rsid w:val="003C07DD"/>
    <w:rsid w:val="003C5342"/>
    <w:rsid w:val="003E0510"/>
    <w:rsid w:val="003F46BE"/>
    <w:rsid w:val="003F7D46"/>
    <w:rsid w:val="00404F31"/>
    <w:rsid w:val="0040504A"/>
    <w:rsid w:val="0040620D"/>
    <w:rsid w:val="00411684"/>
    <w:rsid w:val="004308D0"/>
    <w:rsid w:val="00440570"/>
    <w:rsid w:val="0044448D"/>
    <w:rsid w:val="00445173"/>
    <w:rsid w:val="00455A83"/>
    <w:rsid w:val="00461407"/>
    <w:rsid w:val="0046325A"/>
    <w:rsid w:val="00464312"/>
    <w:rsid w:val="00465FF2"/>
    <w:rsid w:val="004715DF"/>
    <w:rsid w:val="004730BD"/>
    <w:rsid w:val="004A1025"/>
    <w:rsid w:val="004A1FC9"/>
    <w:rsid w:val="004B00DF"/>
    <w:rsid w:val="004B2E7B"/>
    <w:rsid w:val="004C00F4"/>
    <w:rsid w:val="004D652D"/>
    <w:rsid w:val="004F5699"/>
    <w:rsid w:val="00502D86"/>
    <w:rsid w:val="00511195"/>
    <w:rsid w:val="005120D5"/>
    <w:rsid w:val="0052063D"/>
    <w:rsid w:val="0054110C"/>
    <w:rsid w:val="00542590"/>
    <w:rsid w:val="00567EE2"/>
    <w:rsid w:val="00571CCE"/>
    <w:rsid w:val="005753A6"/>
    <w:rsid w:val="005C7D67"/>
    <w:rsid w:val="005D26A5"/>
    <w:rsid w:val="005E0A34"/>
    <w:rsid w:val="005E3EDE"/>
    <w:rsid w:val="005E55FE"/>
    <w:rsid w:val="00606633"/>
    <w:rsid w:val="00611275"/>
    <w:rsid w:val="00612976"/>
    <w:rsid w:val="0062160F"/>
    <w:rsid w:val="006229DD"/>
    <w:rsid w:val="00650FD7"/>
    <w:rsid w:val="00663CEB"/>
    <w:rsid w:val="0067394A"/>
    <w:rsid w:val="00677467"/>
    <w:rsid w:val="006966F9"/>
    <w:rsid w:val="006C3AA8"/>
    <w:rsid w:val="006C542B"/>
    <w:rsid w:val="006D5942"/>
    <w:rsid w:val="006D6C0D"/>
    <w:rsid w:val="006F5AAE"/>
    <w:rsid w:val="006F6F7D"/>
    <w:rsid w:val="007115D8"/>
    <w:rsid w:val="0074366C"/>
    <w:rsid w:val="00750E89"/>
    <w:rsid w:val="00751A02"/>
    <w:rsid w:val="00752DBD"/>
    <w:rsid w:val="007B6AC8"/>
    <w:rsid w:val="007C044E"/>
    <w:rsid w:val="007C370C"/>
    <w:rsid w:val="007D4C34"/>
    <w:rsid w:val="007E1976"/>
    <w:rsid w:val="007E7B66"/>
    <w:rsid w:val="007F4B45"/>
    <w:rsid w:val="0081077E"/>
    <w:rsid w:val="00810CF4"/>
    <w:rsid w:val="008200F5"/>
    <w:rsid w:val="00821C3B"/>
    <w:rsid w:val="00831901"/>
    <w:rsid w:val="00840180"/>
    <w:rsid w:val="00882D24"/>
    <w:rsid w:val="008A2232"/>
    <w:rsid w:val="008A7641"/>
    <w:rsid w:val="008B729B"/>
    <w:rsid w:val="0090317A"/>
    <w:rsid w:val="00913B88"/>
    <w:rsid w:val="009170DB"/>
    <w:rsid w:val="00923838"/>
    <w:rsid w:val="009331E9"/>
    <w:rsid w:val="00936C95"/>
    <w:rsid w:val="00953030"/>
    <w:rsid w:val="009579AD"/>
    <w:rsid w:val="009610AB"/>
    <w:rsid w:val="00973059"/>
    <w:rsid w:val="00977FBA"/>
    <w:rsid w:val="009823FE"/>
    <w:rsid w:val="00986F8B"/>
    <w:rsid w:val="009A2F51"/>
    <w:rsid w:val="009A5CBE"/>
    <w:rsid w:val="009C09AE"/>
    <w:rsid w:val="009C63E8"/>
    <w:rsid w:val="009D27FB"/>
    <w:rsid w:val="009D63C0"/>
    <w:rsid w:val="009E0F75"/>
    <w:rsid w:val="009E5A78"/>
    <w:rsid w:val="00A033B0"/>
    <w:rsid w:val="00A140D3"/>
    <w:rsid w:val="00A325BD"/>
    <w:rsid w:val="00A33480"/>
    <w:rsid w:val="00A3612E"/>
    <w:rsid w:val="00A428EA"/>
    <w:rsid w:val="00A4403E"/>
    <w:rsid w:val="00A50EC3"/>
    <w:rsid w:val="00A670EB"/>
    <w:rsid w:val="00A7024B"/>
    <w:rsid w:val="00A74427"/>
    <w:rsid w:val="00A8338A"/>
    <w:rsid w:val="00A867C9"/>
    <w:rsid w:val="00AA2E85"/>
    <w:rsid w:val="00AB053F"/>
    <w:rsid w:val="00AB476B"/>
    <w:rsid w:val="00AC5B4C"/>
    <w:rsid w:val="00AC6436"/>
    <w:rsid w:val="00AD4550"/>
    <w:rsid w:val="00AF0AF8"/>
    <w:rsid w:val="00AF359C"/>
    <w:rsid w:val="00B33AD1"/>
    <w:rsid w:val="00B804E5"/>
    <w:rsid w:val="00B80A61"/>
    <w:rsid w:val="00BA30B5"/>
    <w:rsid w:val="00BB6D67"/>
    <w:rsid w:val="00BB7A35"/>
    <w:rsid w:val="00BD5318"/>
    <w:rsid w:val="00BE7D50"/>
    <w:rsid w:val="00BF55BD"/>
    <w:rsid w:val="00C15F94"/>
    <w:rsid w:val="00C31701"/>
    <w:rsid w:val="00C35016"/>
    <w:rsid w:val="00C54944"/>
    <w:rsid w:val="00C55E32"/>
    <w:rsid w:val="00C6264F"/>
    <w:rsid w:val="00C70CC2"/>
    <w:rsid w:val="00C7131F"/>
    <w:rsid w:val="00C97AC5"/>
    <w:rsid w:val="00CA43C0"/>
    <w:rsid w:val="00CB1B58"/>
    <w:rsid w:val="00CC53EB"/>
    <w:rsid w:val="00CD2EE3"/>
    <w:rsid w:val="00CD2FCE"/>
    <w:rsid w:val="00CE22B9"/>
    <w:rsid w:val="00D068E9"/>
    <w:rsid w:val="00D138AB"/>
    <w:rsid w:val="00D24A80"/>
    <w:rsid w:val="00D314A9"/>
    <w:rsid w:val="00D325E6"/>
    <w:rsid w:val="00D462D5"/>
    <w:rsid w:val="00D47872"/>
    <w:rsid w:val="00D81FAE"/>
    <w:rsid w:val="00D84DFC"/>
    <w:rsid w:val="00D932E2"/>
    <w:rsid w:val="00DE4BDD"/>
    <w:rsid w:val="00DE6DEE"/>
    <w:rsid w:val="00DF407B"/>
    <w:rsid w:val="00E22C7F"/>
    <w:rsid w:val="00E25CFF"/>
    <w:rsid w:val="00E3585D"/>
    <w:rsid w:val="00E4234D"/>
    <w:rsid w:val="00E66C1A"/>
    <w:rsid w:val="00E76FA6"/>
    <w:rsid w:val="00E83876"/>
    <w:rsid w:val="00E900E5"/>
    <w:rsid w:val="00E920C2"/>
    <w:rsid w:val="00E924CD"/>
    <w:rsid w:val="00EA0B53"/>
    <w:rsid w:val="00EA1388"/>
    <w:rsid w:val="00EC1CD8"/>
    <w:rsid w:val="00ED07A9"/>
    <w:rsid w:val="00ED5B4B"/>
    <w:rsid w:val="00EF3CB2"/>
    <w:rsid w:val="00EF44B6"/>
    <w:rsid w:val="00F137F8"/>
    <w:rsid w:val="00F3202E"/>
    <w:rsid w:val="00F32E9D"/>
    <w:rsid w:val="00F447EC"/>
    <w:rsid w:val="00F449D7"/>
    <w:rsid w:val="00F4784C"/>
    <w:rsid w:val="00F67210"/>
    <w:rsid w:val="00F67F8E"/>
    <w:rsid w:val="00F70251"/>
    <w:rsid w:val="00F726B7"/>
    <w:rsid w:val="00F854AA"/>
    <w:rsid w:val="00F91409"/>
    <w:rsid w:val="00F94EDD"/>
    <w:rsid w:val="00FC4453"/>
    <w:rsid w:val="00FC4E8F"/>
    <w:rsid w:val="00FE4A73"/>
    <w:rsid w:val="00FF4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E8"/>
    <w:rPr>
      <w:sz w:val="24"/>
      <w:szCs w:val="24"/>
      <w:lang w:val="ro-RO"/>
    </w:rPr>
  </w:style>
  <w:style w:type="paragraph" w:styleId="Heading6">
    <w:name w:val="heading 6"/>
    <w:basedOn w:val="Normal"/>
    <w:next w:val="Normal"/>
    <w:link w:val="Heading6Char"/>
    <w:qFormat/>
    <w:rsid w:val="00923838"/>
    <w:pPr>
      <w:spacing w:before="240" w:after="60"/>
      <w:outlineLvl w:val="5"/>
    </w:pPr>
    <w:rPr>
      <w:b/>
      <w:bCs/>
      <w:sz w:val="22"/>
      <w:szCs w:val="22"/>
    </w:rPr>
  </w:style>
  <w:style w:type="paragraph" w:styleId="Heading7">
    <w:name w:val="heading 7"/>
    <w:basedOn w:val="Normal"/>
    <w:next w:val="Normal"/>
    <w:link w:val="Heading7Char"/>
    <w:qFormat/>
    <w:rsid w:val="009238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23838"/>
    <w:rPr>
      <w:b/>
      <w:bCs/>
      <w:sz w:val="22"/>
      <w:szCs w:val="22"/>
      <w:lang w:val="ro-RO"/>
    </w:rPr>
  </w:style>
  <w:style w:type="character" w:customStyle="1" w:styleId="Heading7Char">
    <w:name w:val="Heading 7 Char"/>
    <w:basedOn w:val="DefaultParagraphFont"/>
    <w:link w:val="Heading7"/>
    <w:rsid w:val="00923838"/>
    <w:rPr>
      <w:sz w:val="24"/>
      <w:szCs w:val="24"/>
      <w:lang w:val="ro-RO"/>
    </w:rPr>
  </w:style>
  <w:style w:type="paragraph" w:styleId="Header">
    <w:name w:val="header"/>
    <w:basedOn w:val="Normal"/>
    <w:link w:val="HeaderChar"/>
    <w:uiPriority w:val="99"/>
    <w:unhideWhenUsed/>
    <w:rsid w:val="009C63E8"/>
    <w:pPr>
      <w:tabs>
        <w:tab w:val="center" w:pos="4680"/>
        <w:tab w:val="right" w:pos="9360"/>
      </w:tabs>
    </w:pPr>
  </w:style>
  <w:style w:type="character" w:customStyle="1" w:styleId="HeaderChar">
    <w:name w:val="Header Char"/>
    <w:basedOn w:val="DefaultParagraphFont"/>
    <w:link w:val="Header"/>
    <w:uiPriority w:val="99"/>
    <w:rsid w:val="009C63E8"/>
    <w:rPr>
      <w:sz w:val="24"/>
      <w:szCs w:val="24"/>
      <w:lang w:val="ro-RO"/>
    </w:rPr>
  </w:style>
  <w:style w:type="paragraph" w:styleId="Footer">
    <w:name w:val="footer"/>
    <w:basedOn w:val="Normal"/>
    <w:link w:val="FooterChar"/>
    <w:uiPriority w:val="99"/>
    <w:unhideWhenUsed/>
    <w:rsid w:val="009C63E8"/>
    <w:pPr>
      <w:tabs>
        <w:tab w:val="center" w:pos="4680"/>
        <w:tab w:val="right" w:pos="9360"/>
      </w:tabs>
    </w:pPr>
  </w:style>
  <w:style w:type="character" w:customStyle="1" w:styleId="FooterChar">
    <w:name w:val="Footer Char"/>
    <w:basedOn w:val="DefaultParagraphFont"/>
    <w:link w:val="Footer"/>
    <w:uiPriority w:val="99"/>
    <w:rsid w:val="009C63E8"/>
    <w:rPr>
      <w:sz w:val="24"/>
      <w:szCs w:val="24"/>
      <w:lang w:val="ro-RO"/>
    </w:rPr>
  </w:style>
  <w:style w:type="paragraph" w:styleId="BalloonText">
    <w:name w:val="Balloon Text"/>
    <w:basedOn w:val="Normal"/>
    <w:link w:val="BalloonTextChar"/>
    <w:uiPriority w:val="99"/>
    <w:semiHidden/>
    <w:unhideWhenUsed/>
    <w:rsid w:val="009C63E8"/>
    <w:rPr>
      <w:rFonts w:ascii="Tahoma" w:hAnsi="Tahoma" w:cs="Tahoma"/>
      <w:sz w:val="16"/>
      <w:szCs w:val="16"/>
    </w:rPr>
  </w:style>
  <w:style w:type="character" w:customStyle="1" w:styleId="BalloonTextChar">
    <w:name w:val="Balloon Text Char"/>
    <w:basedOn w:val="DefaultParagraphFont"/>
    <w:link w:val="BalloonText"/>
    <w:uiPriority w:val="99"/>
    <w:semiHidden/>
    <w:rsid w:val="009C63E8"/>
    <w:rPr>
      <w:rFonts w:ascii="Tahoma" w:hAnsi="Tahoma" w:cs="Tahoma"/>
      <w:sz w:val="16"/>
      <w:szCs w:val="16"/>
      <w:lang w:val="ro-RO"/>
    </w:rPr>
  </w:style>
  <w:style w:type="character" w:styleId="Hyperlink">
    <w:name w:val="Hyperlink"/>
    <w:basedOn w:val="DefaultParagraphFont"/>
    <w:unhideWhenUsed/>
    <w:rsid w:val="00D24A80"/>
    <w:rPr>
      <w:color w:val="0000FF"/>
      <w:u w:val="single"/>
    </w:rPr>
  </w:style>
  <w:style w:type="character" w:customStyle="1" w:styleId="preambul1">
    <w:name w:val="preambul1"/>
    <w:basedOn w:val="DefaultParagraphFont"/>
    <w:rsid w:val="00D24A80"/>
    <w:rPr>
      <w:i/>
      <w:iCs/>
      <w:color w:val="000000"/>
    </w:rPr>
  </w:style>
  <w:style w:type="paragraph" w:styleId="ListParagraph">
    <w:name w:val="List Paragraph"/>
    <w:basedOn w:val="Normal"/>
    <w:uiPriority w:val="34"/>
    <w:qFormat/>
    <w:rsid w:val="00D24A80"/>
    <w:pPr>
      <w:overflowPunct w:val="0"/>
      <w:autoSpaceDE w:val="0"/>
      <w:autoSpaceDN w:val="0"/>
      <w:ind w:left="720"/>
    </w:pPr>
    <w:rPr>
      <w:rFonts w:eastAsia="Calibri"/>
      <w:lang w:val="en-US"/>
    </w:rPr>
  </w:style>
  <w:style w:type="character" w:styleId="CommentReference">
    <w:name w:val="annotation reference"/>
    <w:basedOn w:val="DefaultParagraphFont"/>
    <w:uiPriority w:val="99"/>
    <w:semiHidden/>
    <w:unhideWhenUsed/>
    <w:rsid w:val="006C3AA8"/>
    <w:rPr>
      <w:sz w:val="16"/>
      <w:szCs w:val="16"/>
    </w:rPr>
  </w:style>
  <w:style w:type="paragraph" w:styleId="CommentText">
    <w:name w:val="annotation text"/>
    <w:basedOn w:val="Normal"/>
    <w:link w:val="CommentTextChar"/>
    <w:uiPriority w:val="99"/>
    <w:semiHidden/>
    <w:unhideWhenUsed/>
    <w:rsid w:val="006C3AA8"/>
    <w:rPr>
      <w:sz w:val="20"/>
      <w:szCs w:val="20"/>
    </w:rPr>
  </w:style>
  <w:style w:type="character" w:customStyle="1" w:styleId="CommentTextChar">
    <w:name w:val="Comment Text Char"/>
    <w:basedOn w:val="DefaultParagraphFont"/>
    <w:link w:val="CommentText"/>
    <w:uiPriority w:val="99"/>
    <w:semiHidden/>
    <w:rsid w:val="006C3AA8"/>
    <w:rPr>
      <w:lang w:val="ro-RO"/>
    </w:rPr>
  </w:style>
  <w:style w:type="paragraph" w:styleId="CommentSubject">
    <w:name w:val="annotation subject"/>
    <w:basedOn w:val="CommentText"/>
    <w:next w:val="CommentText"/>
    <w:link w:val="CommentSubjectChar"/>
    <w:uiPriority w:val="99"/>
    <w:semiHidden/>
    <w:unhideWhenUsed/>
    <w:rsid w:val="006C3AA8"/>
    <w:rPr>
      <w:b/>
      <w:bCs/>
    </w:rPr>
  </w:style>
  <w:style w:type="character" w:customStyle="1" w:styleId="CommentSubjectChar">
    <w:name w:val="Comment Subject Char"/>
    <w:basedOn w:val="CommentTextChar"/>
    <w:link w:val="CommentSubject"/>
    <w:uiPriority w:val="99"/>
    <w:semiHidden/>
    <w:rsid w:val="006C3AA8"/>
    <w:rPr>
      <w:b/>
      <w:bCs/>
    </w:rPr>
  </w:style>
  <w:style w:type="paragraph" w:customStyle="1" w:styleId="Default">
    <w:name w:val="Default"/>
    <w:rsid w:val="0021222D"/>
    <w:pPr>
      <w:autoSpaceDE w:val="0"/>
      <w:autoSpaceDN w:val="0"/>
      <w:adjustRightInd w:val="0"/>
    </w:pPr>
    <w:rPr>
      <w:rFonts w:ascii="EUAlbertina" w:hAnsi="EUAlbertina" w:cs="EUAlbertina"/>
      <w:color w:val="000000"/>
      <w:sz w:val="24"/>
      <w:szCs w:val="24"/>
      <w:lang w:val="ro-RO"/>
    </w:rPr>
  </w:style>
  <w:style w:type="character" w:styleId="Strong">
    <w:name w:val="Strong"/>
    <w:basedOn w:val="DefaultParagraphFont"/>
    <w:uiPriority w:val="22"/>
    <w:qFormat/>
    <w:rsid w:val="0054110C"/>
    <w:rPr>
      <w:b/>
      <w:bCs/>
    </w:rPr>
  </w:style>
</w:styles>
</file>

<file path=word/webSettings.xml><?xml version="1.0" encoding="utf-8"?>
<w:webSettings xmlns:r="http://schemas.openxmlformats.org/officeDocument/2006/relationships" xmlns:w="http://schemas.openxmlformats.org/wordprocessingml/2006/main">
  <w:divs>
    <w:div w:id="230702562">
      <w:bodyDiv w:val="1"/>
      <w:marLeft w:val="0"/>
      <w:marRight w:val="0"/>
      <w:marTop w:val="0"/>
      <w:marBottom w:val="0"/>
      <w:divBdr>
        <w:top w:val="none" w:sz="0" w:space="0" w:color="auto"/>
        <w:left w:val="none" w:sz="0" w:space="0" w:color="auto"/>
        <w:bottom w:val="none" w:sz="0" w:space="0" w:color="auto"/>
        <w:right w:val="none" w:sz="0" w:space="0" w:color="auto"/>
      </w:divBdr>
    </w:div>
    <w:div w:id="520315251">
      <w:bodyDiv w:val="1"/>
      <w:marLeft w:val="0"/>
      <w:marRight w:val="0"/>
      <w:marTop w:val="0"/>
      <w:marBottom w:val="0"/>
      <w:divBdr>
        <w:top w:val="none" w:sz="0" w:space="0" w:color="auto"/>
        <w:left w:val="none" w:sz="0" w:space="0" w:color="auto"/>
        <w:bottom w:val="none" w:sz="0" w:space="0" w:color="auto"/>
        <w:right w:val="none" w:sz="0" w:space="0" w:color="auto"/>
      </w:divBdr>
    </w:div>
    <w:div w:id="17319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258F-E932-475F-B8B4-357A4CBF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Links>
    <vt:vector size="24" baseType="variant">
      <vt:variant>
        <vt:i4>6357041</vt:i4>
      </vt:variant>
      <vt:variant>
        <vt:i4>9</vt:i4>
      </vt:variant>
      <vt:variant>
        <vt:i4>0</vt:i4>
      </vt:variant>
      <vt:variant>
        <vt:i4>5</vt:i4>
      </vt:variant>
      <vt:variant>
        <vt:lpwstr>lnk:LEG PRL 113 2013 0</vt:lpwstr>
      </vt:variant>
      <vt:variant>
        <vt:lpwstr/>
      </vt:variant>
      <vt:variant>
        <vt:i4>4390935</vt:i4>
      </vt:variant>
      <vt:variant>
        <vt:i4>6</vt:i4>
      </vt:variant>
      <vt:variant>
        <vt:i4>0</vt:i4>
      </vt:variant>
      <vt:variant>
        <vt:i4>5</vt:i4>
      </vt:variant>
      <vt:variant>
        <vt:lpwstr>lnk:ORU GUV 93 2012 0</vt:lpwstr>
      </vt:variant>
      <vt:variant>
        <vt:lpwstr/>
      </vt:variant>
      <vt:variant>
        <vt:i4>4390935</vt:i4>
      </vt:variant>
      <vt:variant>
        <vt:i4>3</vt:i4>
      </vt:variant>
      <vt:variant>
        <vt:i4>0</vt:i4>
      </vt:variant>
      <vt:variant>
        <vt:i4>5</vt:i4>
      </vt:variant>
      <vt:variant>
        <vt:lpwstr>lnk:ORU GUV 93 2012 0</vt:lpwstr>
      </vt:variant>
      <vt:variant>
        <vt:lpwstr/>
      </vt:variant>
      <vt:variant>
        <vt:i4>4390935</vt:i4>
      </vt:variant>
      <vt:variant>
        <vt:i4>0</vt:i4>
      </vt:variant>
      <vt:variant>
        <vt:i4>0</vt:i4>
      </vt:variant>
      <vt:variant>
        <vt:i4>5</vt:i4>
      </vt:variant>
      <vt:variant>
        <vt:lpwstr>lnk:ORU GUV 93 2012 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mbutoianu</dc:creator>
  <cp:lastModifiedBy>abichi</cp:lastModifiedBy>
  <cp:revision>9</cp:revision>
  <cp:lastPrinted>2014-09-01T10:25:00Z</cp:lastPrinted>
  <dcterms:created xsi:type="dcterms:W3CDTF">2014-09-18T09:58:00Z</dcterms:created>
  <dcterms:modified xsi:type="dcterms:W3CDTF">2014-10-08T09:17:00Z</dcterms:modified>
</cp:coreProperties>
</file>